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6E2C50">
      <w:pPr>
        <w:rPr>
          <w:rFonts w:ascii="Times New Roman" w:hAnsi="Times New Roman" w:eastAsia="Batang"/>
          <w:b/>
          <w:sz w:val="28"/>
          <w:szCs w:val="28"/>
        </w:rPr>
      </w:pPr>
      <w:r>
        <w:rPr>
          <w:rFonts w:ascii="Times New Roman" w:hAnsi="Times New Roman" w:eastAsia="Batang"/>
          <w:b/>
          <w:sz w:val="28"/>
          <w:szCs w:val="28"/>
        </w:rPr>
        <w:t xml:space="preserve">  </w:t>
      </w:r>
    </w:p>
    <w:p w14:paraId="78A6B7B3">
      <w:pPr>
        <w:rPr>
          <w:rFonts w:ascii="Times New Roman" w:hAnsi="Times New Roman" w:eastAsia="Batang"/>
          <w:b/>
          <w:sz w:val="28"/>
          <w:szCs w:val="28"/>
        </w:rPr>
      </w:pPr>
      <w:r>
        <w:rPr>
          <w:rFonts w:ascii="Times New Roman" w:hAnsi="Times New Roman" w:eastAsia="Times New Roman"/>
          <w:sz w:val="24"/>
          <w:szCs w:val="24"/>
          <w:lang w:eastAsia="hr-HR"/>
        </w:rPr>
        <w:t xml:space="preserve">                                                                         </w:t>
      </w:r>
      <w:r>
        <w:rPr>
          <w:rFonts w:ascii="Times New Roman" w:hAnsi="Times New Roman" w:eastAsia="Times New Roman"/>
          <w:sz w:val="24"/>
          <w:szCs w:val="24"/>
          <w:lang w:eastAsia="hr-HR"/>
        </w:rPr>
        <w:drawing>
          <wp:inline distT="0" distB="0" distL="0" distR="0">
            <wp:extent cx="603250" cy="743585"/>
            <wp:effectExtent l="0" t="0" r="635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603250" cy="743585"/>
                    </a:xfrm>
                    <a:prstGeom prst="rect">
                      <a:avLst/>
                    </a:prstGeom>
                    <a:noFill/>
                  </pic:spPr>
                </pic:pic>
              </a:graphicData>
            </a:graphic>
          </wp:inline>
        </w:drawing>
      </w:r>
    </w:p>
    <w:p w14:paraId="2EE24889">
      <w:pPr>
        <w:jc w:val="center"/>
        <w:rPr>
          <w:rFonts w:ascii="Times New Roman" w:hAnsi="Times New Roman" w:eastAsia="Batang"/>
          <w:b/>
          <w:sz w:val="28"/>
          <w:szCs w:val="28"/>
        </w:rPr>
      </w:pPr>
      <w:r>
        <w:rPr>
          <w:rFonts w:ascii="Times New Roman" w:hAnsi="Times New Roman" w:eastAsia="Batang"/>
          <w:b/>
          <w:sz w:val="28"/>
          <w:szCs w:val="28"/>
        </w:rPr>
        <w:t>SISAČKO-MOSLAVAČKA ŽUPANIJA</w:t>
      </w:r>
    </w:p>
    <w:p w14:paraId="3A058903">
      <w:pPr>
        <w:spacing w:after="0"/>
        <w:jc w:val="center"/>
        <w:rPr>
          <w:rFonts w:ascii="Times New Roman" w:hAnsi="Times New Roman" w:eastAsia="Batang"/>
          <w:b/>
          <w:sz w:val="28"/>
          <w:szCs w:val="28"/>
        </w:rPr>
      </w:pPr>
      <w:r>
        <w:rPr>
          <w:rFonts w:ascii="Times New Roman" w:hAnsi="Times New Roman" w:eastAsia="Batang"/>
          <w:b/>
          <w:sz w:val="28"/>
          <w:szCs w:val="28"/>
        </w:rPr>
        <w:t>Upravni odjel za poljoprivredu, ruralni razvoj,</w:t>
      </w:r>
    </w:p>
    <w:p w14:paraId="0165F862">
      <w:pPr>
        <w:spacing w:after="0"/>
        <w:jc w:val="center"/>
        <w:rPr>
          <w:rFonts w:ascii="Times New Roman" w:hAnsi="Times New Roman"/>
          <w:sz w:val="28"/>
          <w:szCs w:val="28"/>
        </w:rPr>
      </w:pPr>
      <w:r>
        <w:rPr>
          <w:rFonts w:ascii="Times New Roman" w:hAnsi="Times New Roman" w:eastAsia="Batang"/>
          <w:b/>
          <w:sz w:val="28"/>
          <w:szCs w:val="28"/>
        </w:rPr>
        <w:t>zaštitu okoliša i prirode</w:t>
      </w:r>
    </w:p>
    <w:p w14:paraId="3FF6753C">
      <w:pPr>
        <w:spacing w:after="0"/>
        <w:jc w:val="center"/>
        <w:rPr>
          <w:rFonts w:ascii="Times New Roman" w:hAnsi="Times New Roman"/>
          <w:b/>
          <w:sz w:val="28"/>
          <w:szCs w:val="28"/>
        </w:rPr>
      </w:pPr>
    </w:p>
    <w:p w14:paraId="6CFC4A06">
      <w:pPr>
        <w:spacing w:after="0"/>
        <w:jc w:val="center"/>
        <w:rPr>
          <w:rFonts w:ascii="Times New Roman" w:hAnsi="Times New Roman"/>
          <w:b/>
          <w:sz w:val="32"/>
          <w:szCs w:val="32"/>
        </w:rPr>
      </w:pPr>
    </w:p>
    <w:p w14:paraId="25B0BB92">
      <w:pPr>
        <w:spacing w:after="0"/>
        <w:jc w:val="center"/>
        <w:rPr>
          <w:rFonts w:ascii="Times New Roman" w:hAnsi="Times New Roman"/>
          <w:b/>
          <w:sz w:val="32"/>
          <w:szCs w:val="32"/>
        </w:rPr>
      </w:pPr>
    </w:p>
    <w:p w14:paraId="08189F64">
      <w:pPr>
        <w:spacing w:after="0"/>
        <w:rPr>
          <w:rFonts w:ascii="Times New Roman" w:hAnsi="Times New Roman"/>
          <w:b/>
          <w:sz w:val="32"/>
          <w:szCs w:val="32"/>
        </w:rPr>
      </w:pPr>
    </w:p>
    <w:p w14:paraId="33A78084">
      <w:pPr>
        <w:spacing w:after="0"/>
        <w:rPr>
          <w:rFonts w:ascii="Times New Roman" w:hAnsi="Times New Roman"/>
          <w:b/>
          <w:sz w:val="32"/>
          <w:szCs w:val="32"/>
        </w:rPr>
      </w:pPr>
    </w:p>
    <w:p w14:paraId="3BFA22D7">
      <w:pPr>
        <w:spacing w:after="0"/>
        <w:rPr>
          <w:rFonts w:ascii="Times New Roman" w:hAnsi="Times New Roman"/>
          <w:b/>
          <w:sz w:val="36"/>
          <w:szCs w:val="36"/>
        </w:rPr>
      </w:pPr>
    </w:p>
    <w:p w14:paraId="0617789C">
      <w:pPr>
        <w:spacing w:after="0"/>
        <w:jc w:val="center"/>
        <w:rPr>
          <w:rFonts w:ascii="Times New Roman" w:hAnsi="Times New Roman"/>
          <w:b/>
          <w:sz w:val="36"/>
          <w:szCs w:val="36"/>
        </w:rPr>
      </w:pPr>
      <w:r>
        <w:rPr>
          <w:rFonts w:ascii="Times New Roman" w:hAnsi="Times New Roman"/>
          <w:b/>
          <w:sz w:val="36"/>
          <w:szCs w:val="36"/>
        </w:rPr>
        <w:t>UPUTE ZA PRIJAVITELJE</w:t>
      </w:r>
    </w:p>
    <w:p w14:paraId="4D7ABEBB">
      <w:pPr>
        <w:spacing w:after="0"/>
        <w:jc w:val="center"/>
        <w:rPr>
          <w:rFonts w:ascii="Times New Roman" w:hAnsi="Times New Roman"/>
          <w:b/>
          <w:sz w:val="36"/>
          <w:szCs w:val="36"/>
        </w:rPr>
      </w:pPr>
      <w:r>
        <w:rPr>
          <w:rFonts w:ascii="Times New Roman" w:hAnsi="Times New Roman"/>
          <w:b/>
          <w:sz w:val="36"/>
          <w:szCs w:val="36"/>
        </w:rPr>
        <w:t>uz</w:t>
      </w:r>
    </w:p>
    <w:p w14:paraId="78F3DF67">
      <w:pPr>
        <w:spacing w:after="0"/>
        <w:jc w:val="center"/>
        <w:rPr>
          <w:rFonts w:ascii="Times New Roman" w:hAnsi="Times New Roman" w:eastAsia="Times New Roman"/>
          <w:b/>
          <w:sz w:val="36"/>
          <w:szCs w:val="36"/>
          <w:lang w:eastAsia="hr-HR"/>
        </w:rPr>
      </w:pPr>
      <w:r>
        <w:rPr>
          <w:rFonts w:ascii="Times New Roman" w:hAnsi="Times New Roman" w:eastAsia="Times New Roman"/>
          <w:b/>
          <w:sz w:val="36"/>
          <w:szCs w:val="36"/>
          <w:lang w:eastAsia="hr-HR"/>
        </w:rPr>
        <w:t>JAVNI POZIV</w:t>
      </w:r>
    </w:p>
    <w:p w14:paraId="3ECE5998">
      <w:pPr>
        <w:spacing w:after="0"/>
        <w:jc w:val="center"/>
        <w:rPr>
          <w:rFonts w:ascii="Times New Roman" w:hAnsi="Times New Roman" w:eastAsia="Times New Roman"/>
          <w:b/>
          <w:sz w:val="28"/>
          <w:szCs w:val="28"/>
          <w:lang w:eastAsia="hr-HR"/>
        </w:rPr>
      </w:pPr>
      <w:r>
        <w:rPr>
          <w:rFonts w:ascii="Times New Roman" w:hAnsi="Times New Roman" w:eastAsia="Times New Roman"/>
          <w:b/>
          <w:sz w:val="28"/>
          <w:szCs w:val="28"/>
          <w:lang w:eastAsia="hr-HR"/>
        </w:rPr>
        <w:t>za sufinanciranje razvoja lovstva na području</w:t>
      </w:r>
    </w:p>
    <w:p w14:paraId="0D4FFAB5">
      <w:pPr>
        <w:pStyle w:val="38"/>
        <w:jc w:val="center"/>
        <w:rPr>
          <w:rFonts w:ascii="Times New Roman" w:hAnsi="Times New Roman" w:eastAsia="Times New Roman"/>
          <w:b/>
          <w:sz w:val="28"/>
          <w:szCs w:val="28"/>
          <w:lang w:eastAsia="hr-HR"/>
        </w:rPr>
      </w:pPr>
      <w:r>
        <w:rPr>
          <w:rFonts w:ascii="Times New Roman" w:hAnsi="Times New Roman" w:eastAsia="Times New Roman"/>
          <w:b/>
          <w:sz w:val="28"/>
          <w:szCs w:val="28"/>
          <w:lang w:eastAsia="hr-HR"/>
        </w:rPr>
        <w:t>Sisačko-moslavačke županije za 2026. godinu</w:t>
      </w:r>
    </w:p>
    <w:p w14:paraId="5051A71A">
      <w:pPr>
        <w:pStyle w:val="38"/>
        <w:jc w:val="center"/>
        <w:rPr>
          <w:rFonts w:ascii="Times New Roman" w:hAnsi="Times New Roman" w:eastAsia="Times New Roman"/>
          <w:b/>
          <w:sz w:val="28"/>
          <w:szCs w:val="28"/>
          <w:lang w:eastAsia="hr-HR"/>
        </w:rPr>
      </w:pPr>
    </w:p>
    <w:p w14:paraId="678476DF">
      <w:pPr>
        <w:pStyle w:val="38"/>
        <w:jc w:val="center"/>
        <w:rPr>
          <w:rFonts w:ascii="Times New Roman" w:hAnsi="Times New Roman" w:eastAsia="Times New Roman"/>
          <w:b/>
          <w:sz w:val="28"/>
          <w:szCs w:val="28"/>
          <w:lang w:eastAsia="hr-HR"/>
        </w:rPr>
      </w:pPr>
    </w:p>
    <w:p w14:paraId="5FD12E77">
      <w:pPr>
        <w:pStyle w:val="38"/>
        <w:jc w:val="center"/>
        <w:rPr>
          <w:rFonts w:ascii="Times New Roman" w:hAnsi="Times New Roman" w:eastAsia="Times New Roman"/>
          <w:b/>
          <w:sz w:val="28"/>
          <w:szCs w:val="28"/>
          <w:lang w:eastAsia="hr-HR"/>
        </w:rPr>
      </w:pPr>
    </w:p>
    <w:p w14:paraId="76F062D2">
      <w:pPr>
        <w:pStyle w:val="38"/>
        <w:jc w:val="center"/>
        <w:rPr>
          <w:rFonts w:ascii="Times New Roman" w:hAnsi="Times New Roman" w:eastAsia="Times New Roman"/>
          <w:b/>
          <w:sz w:val="28"/>
          <w:szCs w:val="28"/>
          <w:lang w:eastAsia="hr-HR"/>
        </w:rPr>
      </w:pPr>
    </w:p>
    <w:p w14:paraId="7F0BF916">
      <w:pPr>
        <w:pStyle w:val="38"/>
        <w:jc w:val="center"/>
        <w:rPr>
          <w:rFonts w:ascii="Times New Roman" w:hAnsi="Times New Roman" w:eastAsia="Times New Roman"/>
          <w:b/>
          <w:sz w:val="28"/>
          <w:szCs w:val="28"/>
          <w:lang w:eastAsia="hr-HR"/>
        </w:rPr>
      </w:pPr>
    </w:p>
    <w:p w14:paraId="095FC94A">
      <w:pPr>
        <w:pStyle w:val="38"/>
        <w:jc w:val="center"/>
        <w:rPr>
          <w:rFonts w:ascii="Times New Roman" w:hAnsi="Times New Roman" w:eastAsia="Times New Roman"/>
          <w:b/>
          <w:sz w:val="28"/>
          <w:szCs w:val="28"/>
          <w:lang w:eastAsia="hr-HR"/>
        </w:rPr>
      </w:pPr>
    </w:p>
    <w:p w14:paraId="3AB9DEF2">
      <w:pPr>
        <w:pStyle w:val="38"/>
        <w:jc w:val="center"/>
        <w:rPr>
          <w:rFonts w:ascii="Times New Roman" w:hAnsi="Times New Roman" w:eastAsia="Times New Roman"/>
          <w:b/>
          <w:sz w:val="28"/>
          <w:szCs w:val="28"/>
          <w:lang w:eastAsia="hr-HR"/>
        </w:rPr>
      </w:pPr>
    </w:p>
    <w:p w14:paraId="07AAB333">
      <w:pPr>
        <w:pStyle w:val="38"/>
        <w:jc w:val="center"/>
        <w:rPr>
          <w:rFonts w:ascii="Times New Roman" w:hAnsi="Times New Roman" w:eastAsia="Times New Roman"/>
          <w:b/>
          <w:sz w:val="28"/>
          <w:szCs w:val="28"/>
          <w:lang w:eastAsia="hr-HR"/>
        </w:rPr>
      </w:pPr>
    </w:p>
    <w:p w14:paraId="3AA9515E">
      <w:pPr>
        <w:pStyle w:val="38"/>
        <w:jc w:val="center"/>
        <w:rPr>
          <w:rFonts w:ascii="Times New Roman" w:hAnsi="Times New Roman" w:eastAsia="Times New Roman"/>
          <w:b/>
          <w:sz w:val="28"/>
          <w:szCs w:val="28"/>
          <w:lang w:eastAsia="hr-HR"/>
        </w:rPr>
      </w:pPr>
    </w:p>
    <w:p w14:paraId="0CA35293">
      <w:pPr>
        <w:pStyle w:val="38"/>
        <w:jc w:val="center"/>
        <w:rPr>
          <w:rFonts w:ascii="Times New Roman" w:hAnsi="Times New Roman" w:eastAsia="Times New Roman"/>
          <w:b/>
          <w:sz w:val="28"/>
          <w:szCs w:val="28"/>
          <w:lang w:eastAsia="hr-HR"/>
        </w:rPr>
      </w:pPr>
    </w:p>
    <w:p w14:paraId="70A3998E">
      <w:pPr>
        <w:pStyle w:val="38"/>
        <w:jc w:val="center"/>
        <w:rPr>
          <w:rFonts w:ascii="Times New Roman" w:hAnsi="Times New Roman" w:eastAsia="Times New Roman"/>
          <w:b/>
          <w:sz w:val="28"/>
          <w:szCs w:val="28"/>
          <w:lang w:eastAsia="hr-HR"/>
        </w:rPr>
      </w:pPr>
      <w:r>
        <w:rPr>
          <w:rFonts w:ascii="Times New Roman" w:hAnsi="Times New Roman" w:eastAsia="Times New Roman"/>
          <w:b/>
          <w:sz w:val="28"/>
          <w:szCs w:val="28"/>
          <w:lang w:eastAsia="hr-HR"/>
        </w:rPr>
        <w:t>Datum objave: 3. kolovoza 2026.</w:t>
      </w:r>
    </w:p>
    <w:p w14:paraId="4F46D9B7">
      <w:pPr>
        <w:pStyle w:val="38"/>
        <w:rPr>
          <w:rFonts w:ascii="Times New Roman" w:hAnsi="Times New Roman" w:eastAsia="Times New Roman"/>
          <w:b/>
          <w:sz w:val="28"/>
          <w:szCs w:val="28"/>
          <w:lang w:eastAsia="hr-HR"/>
        </w:rPr>
      </w:pPr>
      <w:r>
        <w:rPr>
          <w:rFonts w:ascii="Times New Roman" w:hAnsi="Times New Roman" w:eastAsia="Times New Roman"/>
          <w:b/>
          <w:sz w:val="28"/>
          <w:szCs w:val="28"/>
          <w:lang w:eastAsia="hr-HR"/>
        </w:rPr>
        <w:tab/>
      </w:r>
      <w:r>
        <w:rPr>
          <w:rFonts w:ascii="Times New Roman" w:hAnsi="Times New Roman" w:eastAsia="Times New Roman"/>
          <w:b/>
          <w:sz w:val="28"/>
          <w:szCs w:val="28"/>
          <w:lang w:eastAsia="hr-HR"/>
        </w:rPr>
        <w:tab/>
      </w:r>
      <w:r>
        <w:rPr>
          <w:rFonts w:ascii="Times New Roman" w:hAnsi="Times New Roman" w:eastAsia="Times New Roman"/>
          <w:b/>
          <w:sz w:val="28"/>
          <w:szCs w:val="28"/>
          <w:lang w:eastAsia="hr-HR"/>
        </w:rPr>
        <w:tab/>
      </w:r>
      <w:r>
        <w:rPr>
          <w:rFonts w:ascii="Times New Roman" w:hAnsi="Times New Roman" w:eastAsia="Times New Roman"/>
          <w:b/>
          <w:sz w:val="28"/>
          <w:szCs w:val="28"/>
          <w:lang w:eastAsia="hr-HR"/>
        </w:rPr>
        <w:tab/>
      </w:r>
    </w:p>
    <w:p w14:paraId="6C1B2881">
      <w:pPr>
        <w:pStyle w:val="38"/>
        <w:rPr>
          <w:rFonts w:ascii="Times New Roman" w:hAnsi="Times New Roman" w:eastAsia="Times New Roman"/>
          <w:b/>
          <w:sz w:val="24"/>
          <w:szCs w:val="24"/>
          <w:lang w:eastAsia="hr-HR"/>
        </w:rPr>
      </w:pPr>
      <w:r>
        <w:rPr>
          <w:rFonts w:ascii="Times New Roman" w:hAnsi="Times New Roman" w:eastAsia="Times New Roman"/>
          <w:b/>
          <w:sz w:val="28"/>
          <w:szCs w:val="28"/>
          <w:lang w:eastAsia="hr-HR"/>
        </w:rPr>
        <w:tab/>
      </w:r>
      <w:r>
        <w:rPr>
          <w:rFonts w:ascii="Times New Roman" w:hAnsi="Times New Roman" w:eastAsia="Times New Roman"/>
          <w:b/>
          <w:sz w:val="28"/>
          <w:szCs w:val="28"/>
          <w:lang w:eastAsia="hr-HR"/>
        </w:rPr>
        <w:tab/>
      </w:r>
      <w:r>
        <w:rPr>
          <w:rFonts w:ascii="Times New Roman" w:hAnsi="Times New Roman" w:eastAsia="Times New Roman"/>
          <w:b/>
          <w:sz w:val="28"/>
          <w:szCs w:val="28"/>
          <w:lang w:eastAsia="hr-HR"/>
        </w:rPr>
        <w:tab/>
      </w:r>
      <w:r>
        <w:rPr>
          <w:rFonts w:ascii="Times New Roman" w:hAnsi="Times New Roman" w:eastAsia="Times New Roman"/>
          <w:b/>
          <w:sz w:val="28"/>
          <w:szCs w:val="28"/>
          <w:lang w:eastAsia="hr-HR"/>
        </w:rPr>
        <w:t xml:space="preserve">Rok za dostavu prijava: do 30. rujna 2026. </w:t>
      </w:r>
    </w:p>
    <w:p w14:paraId="68EDD3B3">
      <w:pPr>
        <w:spacing w:after="0"/>
        <w:jc w:val="center"/>
        <w:rPr>
          <w:rFonts w:ascii="Times New Roman" w:hAnsi="Times New Roman" w:eastAsia="Times New Roman"/>
          <w:b/>
          <w:sz w:val="28"/>
          <w:szCs w:val="28"/>
          <w:lang w:eastAsia="hr-HR"/>
        </w:rPr>
      </w:pPr>
      <w:r>
        <w:rPr>
          <w:rFonts w:ascii="Times New Roman" w:hAnsi="Times New Roman" w:eastAsia="Times New Roman"/>
          <w:b/>
          <w:sz w:val="28"/>
          <w:szCs w:val="28"/>
          <w:lang w:eastAsia="hr-HR"/>
        </w:rPr>
        <w:t xml:space="preserve"> </w:t>
      </w:r>
    </w:p>
    <w:p w14:paraId="06DF572B">
      <w:pPr>
        <w:spacing w:after="0" w:line="240" w:lineRule="auto"/>
        <w:rPr>
          <w:rFonts w:ascii="Times New Roman" w:hAnsi="Times New Roman"/>
          <w:sz w:val="24"/>
          <w:szCs w:val="24"/>
        </w:rPr>
      </w:pPr>
      <w:r>
        <w:rPr>
          <w:rFonts w:ascii="Times New Roman" w:hAnsi="Times New Roman"/>
          <w:sz w:val="36"/>
          <w:szCs w:val="36"/>
        </w:rPr>
        <w:br w:type="page"/>
      </w:r>
    </w:p>
    <w:p w14:paraId="411FB7A1">
      <w:pPr>
        <w:pStyle w:val="39"/>
        <w:numPr>
          <w:ilvl w:val="0"/>
          <w:numId w:val="1"/>
        </w:numPr>
        <w:spacing w:after="0"/>
        <w:rPr>
          <w:rFonts w:ascii="Times New Roman" w:hAnsi="Times New Roman"/>
          <w:b/>
          <w:sz w:val="24"/>
          <w:szCs w:val="24"/>
          <w:lang w:eastAsia="ar-SA"/>
        </w:rPr>
      </w:pPr>
      <w:r>
        <w:rPr>
          <w:rFonts w:ascii="Times New Roman" w:hAnsi="Times New Roman"/>
          <w:b/>
          <w:sz w:val="24"/>
          <w:szCs w:val="24"/>
          <w:lang w:eastAsia="ar-SA"/>
        </w:rPr>
        <w:t>PREDMET JAVOG POZIVA</w:t>
      </w:r>
    </w:p>
    <w:p w14:paraId="78D47F5D">
      <w:pPr>
        <w:pStyle w:val="38"/>
        <w:jc w:val="both"/>
        <w:rPr>
          <w:rFonts w:ascii="Times New Roman" w:hAnsi="Times New Roman"/>
          <w:sz w:val="24"/>
          <w:szCs w:val="24"/>
        </w:rPr>
      </w:pPr>
      <w:r>
        <w:rPr>
          <w:rFonts w:ascii="Times New Roman" w:hAnsi="Times New Roman"/>
          <w:sz w:val="24"/>
          <w:szCs w:val="24"/>
        </w:rPr>
        <w:t>Predmet Javnog poziva je dodjela bespovratne novčane potpore lovoovlaštenicima u lovištima s područja Sisačko-moslavačke županije za financiranje aktivnosti i projekata iz područja lovstva koje su neophodne u gospodarenju lovištima i gospodarenju s divljači kako bi se doprinijelo razvoju i unaprjeđenju lovstva te sprječavanju šteta od divljači i na divljači na području Sisačko-moslavačke županije, a sukladno Planu razvoja Sisačko-moslavačke županije do 2027. godine („Službeni glasnik Sisačko-moslavačke županije“, broj: 4/23).</w:t>
      </w:r>
    </w:p>
    <w:p w14:paraId="0B2717DD">
      <w:pPr>
        <w:pStyle w:val="38"/>
        <w:tabs>
          <w:tab w:val="left" w:pos="1279"/>
        </w:tabs>
        <w:jc w:val="both"/>
        <w:rPr>
          <w:rFonts w:ascii="Times New Roman" w:hAnsi="Times New Roman"/>
          <w:sz w:val="24"/>
          <w:szCs w:val="24"/>
        </w:rPr>
      </w:pPr>
    </w:p>
    <w:p w14:paraId="75CB1D2C">
      <w:pPr>
        <w:pStyle w:val="39"/>
        <w:numPr>
          <w:ilvl w:val="0"/>
          <w:numId w:val="1"/>
        </w:numPr>
        <w:spacing w:after="0"/>
        <w:rPr>
          <w:rFonts w:ascii="Times New Roman" w:hAnsi="Times New Roman"/>
          <w:b/>
          <w:sz w:val="24"/>
          <w:szCs w:val="24"/>
          <w:lang w:eastAsia="ar-SA"/>
        </w:rPr>
      </w:pPr>
      <w:r>
        <w:rPr>
          <w:rFonts w:ascii="Times New Roman" w:hAnsi="Times New Roman"/>
          <w:b/>
          <w:sz w:val="24"/>
          <w:szCs w:val="24"/>
        </w:rPr>
        <w:t>CILJ JAVNOG POZIVA I PRIORITETI ZA DODJELU BESPOVRATNIH NOVČANIH POTPORA</w:t>
      </w:r>
    </w:p>
    <w:p w14:paraId="0C2B216A">
      <w:pPr>
        <w:spacing w:after="0" w:line="240" w:lineRule="auto"/>
        <w:jc w:val="both"/>
        <w:rPr>
          <w:rFonts w:ascii="Times New Roman" w:hAnsi="Times New Roman" w:eastAsia="Times New Roman"/>
          <w:sz w:val="24"/>
          <w:szCs w:val="24"/>
          <w:lang w:eastAsia="hr-HR"/>
        </w:rPr>
      </w:pPr>
      <w:r>
        <w:rPr>
          <w:rFonts w:ascii="Times New Roman" w:hAnsi="Times New Roman" w:eastAsia="Times New Roman"/>
          <w:sz w:val="24"/>
          <w:szCs w:val="24"/>
          <w:lang w:eastAsia="hr-HR"/>
        </w:rPr>
        <w:t>Cilj dodjele ovih bespovratnih novčanih potpora je unaprjeđenje gospodarske funkcije lovstva te zaštita i očuvanje biološke i ekološke ravnoteže prirodnih staništa divljači te valorizacija lovstva kroz turističku ponudu i njezin doprinos regionalnom gospodarstvu i ruralnom razvoju Sisačko-moslavačke županije.</w:t>
      </w:r>
    </w:p>
    <w:p w14:paraId="6DAD9FDE">
      <w:pPr>
        <w:spacing w:after="0" w:line="240" w:lineRule="auto"/>
        <w:jc w:val="both"/>
        <w:rPr>
          <w:rFonts w:ascii="Times New Roman" w:hAnsi="Times New Roman" w:eastAsia="Times New Roman"/>
          <w:sz w:val="24"/>
          <w:szCs w:val="24"/>
          <w:lang w:eastAsia="hr-HR"/>
        </w:rPr>
      </w:pPr>
    </w:p>
    <w:p w14:paraId="38DB08FA">
      <w:pPr>
        <w:pStyle w:val="39"/>
        <w:numPr>
          <w:ilvl w:val="0"/>
          <w:numId w:val="1"/>
        </w:numPr>
        <w:spacing w:after="0" w:line="240" w:lineRule="auto"/>
        <w:jc w:val="both"/>
        <w:rPr>
          <w:rFonts w:ascii="Times New Roman" w:hAnsi="Times New Roman" w:eastAsia="Times New Roman"/>
          <w:b/>
          <w:sz w:val="24"/>
          <w:szCs w:val="24"/>
          <w:lang w:eastAsia="hr-HR"/>
        </w:rPr>
      </w:pPr>
      <w:r>
        <w:rPr>
          <w:rFonts w:ascii="Times New Roman" w:hAnsi="Times New Roman" w:eastAsia="Times New Roman"/>
          <w:b/>
          <w:sz w:val="24"/>
          <w:szCs w:val="24"/>
          <w:lang w:eastAsia="hr-HR"/>
        </w:rPr>
        <w:t>NOVČANA SREDSTVA</w:t>
      </w:r>
    </w:p>
    <w:p w14:paraId="45F42614">
      <w:pPr>
        <w:pStyle w:val="39"/>
        <w:spacing w:after="0" w:line="240" w:lineRule="auto"/>
        <w:ind w:left="786"/>
        <w:jc w:val="both"/>
        <w:rPr>
          <w:rFonts w:ascii="Times New Roman" w:hAnsi="Times New Roman" w:eastAsia="Times New Roman"/>
          <w:sz w:val="24"/>
          <w:szCs w:val="24"/>
          <w:vertAlign w:val="subscript"/>
          <w:lang w:eastAsia="hr-HR"/>
        </w:rPr>
      </w:pPr>
    </w:p>
    <w:tbl>
      <w:tblPr>
        <w:tblStyle w:val="13"/>
        <w:tblW w:w="5000" w:type="pct"/>
        <w:tblInd w:w="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autofit"/>
        <w:tblCellMar>
          <w:top w:w="28" w:type="dxa"/>
          <w:left w:w="113" w:type="dxa"/>
          <w:bottom w:w="28" w:type="dxa"/>
          <w:right w:w="0" w:type="dxa"/>
        </w:tblCellMar>
      </w:tblPr>
      <w:tblGrid>
        <w:gridCol w:w="9899"/>
      </w:tblGrid>
      <w:tr w14:paraId="4F4A39A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28" w:type="dxa"/>
            <w:left w:w="113" w:type="dxa"/>
            <w:bottom w:w="28" w:type="dxa"/>
            <w:right w:w="0" w:type="dxa"/>
          </w:tblCellMar>
        </w:tblPrEx>
        <w:trPr>
          <w:trHeight w:val="308" w:hRule="exact"/>
        </w:trPr>
        <w:tc>
          <w:tcPr>
            <w:tcW w:w="5000" w:type="pct"/>
            <w:tcBorders>
              <w:top w:val="single" w:color="auto" w:sz="4" w:space="0"/>
              <w:left w:val="single" w:color="auto" w:sz="4" w:space="0"/>
              <w:bottom w:val="single" w:color="auto" w:sz="4" w:space="0"/>
              <w:right w:val="single" w:color="auto" w:sz="4" w:space="0"/>
            </w:tcBorders>
            <w:shd w:val="clear" w:color="auto" w:fill="E7E6E6" w:themeFill="background2"/>
            <w:vAlign w:val="center"/>
          </w:tcPr>
          <w:p w14:paraId="42659D24">
            <w:pPr>
              <w:widowControl w:val="0"/>
              <w:suppressLineNumbers/>
              <w:snapToGrid w:val="0"/>
              <w:rPr>
                <w:rFonts w:ascii="Times New Roman" w:hAnsi="Times New Roman"/>
                <w:b/>
                <w:bCs/>
                <w:sz w:val="24"/>
                <w:szCs w:val="24"/>
              </w:rPr>
            </w:pPr>
            <w:bookmarkStart w:id="0" w:name="_Hlk35941329"/>
            <w:r>
              <w:rPr>
                <w:rFonts w:ascii="Times New Roman" w:hAnsi="Times New Roman"/>
                <w:b/>
                <w:sz w:val="24"/>
                <w:szCs w:val="24"/>
              </w:rPr>
              <w:t>Iznosi bespovratne novčane potpore</w:t>
            </w:r>
          </w:p>
        </w:tc>
      </w:tr>
      <w:bookmarkEnd w:id="0"/>
    </w:tbl>
    <w:p w14:paraId="6D93AC9D">
      <w:pPr>
        <w:spacing w:after="0" w:line="240" w:lineRule="auto"/>
        <w:jc w:val="both"/>
        <w:rPr>
          <w:rFonts w:ascii="Times New Roman" w:hAnsi="Times New Roman"/>
          <w:sz w:val="16"/>
          <w:szCs w:val="16"/>
        </w:rPr>
      </w:pPr>
    </w:p>
    <w:p w14:paraId="5551EC29">
      <w:pPr>
        <w:spacing w:after="0" w:line="240" w:lineRule="auto"/>
        <w:jc w:val="both"/>
        <w:rPr>
          <w:rFonts w:ascii="Times New Roman" w:hAnsi="Times New Roman"/>
          <w:sz w:val="24"/>
          <w:szCs w:val="24"/>
        </w:rPr>
      </w:pPr>
      <w:r>
        <w:rPr>
          <w:rFonts w:ascii="Times New Roman" w:hAnsi="Times New Roman"/>
          <w:sz w:val="24"/>
          <w:szCs w:val="24"/>
        </w:rPr>
        <w:t xml:space="preserve">Ukupno planirana sredstva za provedbu </w:t>
      </w:r>
      <w:r>
        <w:rPr>
          <w:rFonts w:ascii="Times New Roman" w:hAnsi="Times New Roman" w:eastAsia="Times New Roman"/>
          <w:sz w:val="24"/>
          <w:szCs w:val="24"/>
          <w:lang w:eastAsia="hr-HR"/>
        </w:rPr>
        <w:t xml:space="preserve">Javnog poziva za sufinanciranje razvoja lovstva na području Sisačko-moslavačke županije za 2026. godinu (u daljnjem tekstu: Javni poziv) </w:t>
      </w:r>
      <w:r>
        <w:rPr>
          <w:rFonts w:ascii="Times New Roman" w:hAnsi="Times New Roman"/>
          <w:sz w:val="24"/>
          <w:szCs w:val="24"/>
        </w:rPr>
        <w:t>iznose 60.000,00 €, a osigurana su u Proračunu Sisačko-moslavačke županije za 2026. godinu i projekcije za 2027. i 2028. godinu (“Službeni glasnik Sisačko-moslavačke županije”, broj 19/25 i 7/26), na poziciji R-2546-01. Planirani maksimalni broj dodijeljenih pojedinačnih bespovratnih novčanih potpora je do 66.</w:t>
      </w:r>
    </w:p>
    <w:p w14:paraId="42DDB4BD">
      <w:pPr>
        <w:spacing w:after="0" w:line="240" w:lineRule="auto"/>
        <w:jc w:val="both"/>
        <w:rPr>
          <w:rFonts w:ascii="Times New Roman" w:hAnsi="Times New Roman"/>
          <w:sz w:val="24"/>
          <w:szCs w:val="24"/>
        </w:rPr>
      </w:pPr>
      <w:r>
        <w:rPr>
          <w:rFonts w:ascii="Times New Roman" w:hAnsi="Times New Roman"/>
          <w:sz w:val="24"/>
          <w:szCs w:val="24"/>
        </w:rPr>
        <w:t xml:space="preserve"> </w:t>
      </w:r>
    </w:p>
    <w:p w14:paraId="4E6B9A50">
      <w:pPr>
        <w:spacing w:after="0" w:line="240" w:lineRule="auto"/>
        <w:jc w:val="both"/>
        <w:rPr>
          <w:rFonts w:ascii="Times New Roman" w:hAnsi="Times New Roman"/>
          <w:sz w:val="24"/>
          <w:szCs w:val="24"/>
        </w:rPr>
      </w:pPr>
      <w:r>
        <w:rPr>
          <w:rFonts w:ascii="Times New Roman" w:hAnsi="Times New Roman"/>
          <w:sz w:val="24"/>
          <w:szCs w:val="24"/>
        </w:rPr>
        <w:t xml:space="preserve">Prijavitelji se mogu prijaviti na više mjera utvrđenih Odlukom o sufinanciranju </w:t>
      </w:r>
      <w:r>
        <w:rPr>
          <w:rFonts w:ascii="Times New Roman" w:hAnsi="Times New Roman" w:eastAsiaTheme="minorHAnsi"/>
          <w:sz w:val="24"/>
          <w:szCs w:val="24"/>
        </w:rPr>
        <w:t xml:space="preserve">razvoja lovstva na području Sisačko-moslavačke županije </w:t>
      </w:r>
      <w:r>
        <w:rPr>
          <w:rFonts w:ascii="Times New Roman" w:hAnsi="Times New Roman" w:eastAsia="Times New Roman" w:cstheme="minorBidi"/>
          <w:sz w:val="24"/>
          <w:szCs w:val="24"/>
          <w:lang w:eastAsia="hr-HR"/>
        </w:rPr>
        <w:t>za 2026. godinu (u daljnjem tekstu: Odluka)</w:t>
      </w:r>
      <w:r>
        <w:rPr>
          <w:rFonts w:ascii="Times New Roman" w:hAnsi="Times New Roman"/>
          <w:sz w:val="24"/>
          <w:szCs w:val="24"/>
        </w:rPr>
        <w:t>, a maksimalni iznos ukupne bespovratne novčane potpore ne može prelaziti iznos od 75% lovozakupnine koju je lovoovlaštenik uplatio za lovnu godinu 2025./2026.</w:t>
      </w:r>
    </w:p>
    <w:p w14:paraId="110BDF3C">
      <w:pPr>
        <w:spacing w:after="0" w:line="240" w:lineRule="auto"/>
        <w:jc w:val="both"/>
        <w:rPr>
          <w:rFonts w:ascii="Times New Roman" w:hAnsi="Times New Roman" w:eastAsiaTheme="minorHAnsi"/>
          <w:sz w:val="16"/>
          <w:szCs w:val="16"/>
          <w:vertAlign w:val="subscript"/>
        </w:rPr>
      </w:pPr>
    </w:p>
    <w:p w14:paraId="0F7FB10E">
      <w:pPr>
        <w:pStyle w:val="28"/>
        <w:numPr>
          <w:ilvl w:val="0"/>
          <w:numId w:val="1"/>
        </w:numPr>
        <w:jc w:val="left"/>
        <w:rPr>
          <w:rFonts w:ascii="Times New Roman" w:hAnsi="Times New Roman" w:cs="Times New Roman"/>
          <w:b/>
          <w:bCs/>
          <w:i w:val="0"/>
          <w:iCs/>
        </w:rPr>
      </w:pPr>
      <w:r>
        <w:rPr>
          <w:rFonts w:ascii="Times New Roman" w:hAnsi="Times New Roman" w:cs="Times New Roman"/>
          <w:b/>
          <w:bCs/>
          <w:i w:val="0"/>
          <w:iCs/>
        </w:rPr>
        <w:t>PROPISANI UVJETI JAVNOG POZIVA</w:t>
      </w:r>
    </w:p>
    <w:p w14:paraId="30B818AA">
      <w:pPr>
        <w:pStyle w:val="28"/>
        <w:ind w:left="786"/>
        <w:jc w:val="left"/>
        <w:rPr>
          <w:rFonts w:ascii="Times New Roman" w:hAnsi="Times New Roman" w:cs="Times New Roman"/>
          <w:b/>
          <w:bCs/>
          <w:i w:val="0"/>
          <w:iCs/>
        </w:rPr>
      </w:pPr>
    </w:p>
    <w:tbl>
      <w:tblPr>
        <w:tblStyle w:val="13"/>
        <w:tblW w:w="5000" w:type="pct"/>
        <w:tblInd w:w="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autofit"/>
        <w:tblCellMar>
          <w:top w:w="28" w:type="dxa"/>
          <w:left w:w="113" w:type="dxa"/>
          <w:bottom w:w="28" w:type="dxa"/>
          <w:right w:w="0" w:type="dxa"/>
        </w:tblCellMar>
      </w:tblPr>
      <w:tblGrid>
        <w:gridCol w:w="9899"/>
      </w:tblGrid>
      <w:tr w14:paraId="3862F84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28" w:type="dxa"/>
            <w:left w:w="113" w:type="dxa"/>
            <w:bottom w:w="28" w:type="dxa"/>
            <w:right w:w="0" w:type="dxa"/>
          </w:tblCellMar>
        </w:tblPrEx>
        <w:trPr>
          <w:trHeight w:val="308" w:hRule="exact"/>
        </w:trPr>
        <w:tc>
          <w:tcPr>
            <w:tcW w:w="5000" w:type="pct"/>
            <w:tcBorders>
              <w:top w:val="single" w:color="auto" w:sz="4" w:space="0"/>
              <w:left w:val="single" w:color="auto" w:sz="4" w:space="0"/>
              <w:bottom w:val="single" w:color="auto" w:sz="4" w:space="0"/>
              <w:right w:val="single" w:color="auto" w:sz="4" w:space="0"/>
            </w:tcBorders>
            <w:shd w:val="clear" w:color="auto" w:fill="E7E6E6" w:themeFill="background2"/>
            <w:vAlign w:val="center"/>
          </w:tcPr>
          <w:p w14:paraId="2196FC8A">
            <w:pPr>
              <w:pStyle w:val="28"/>
              <w:jc w:val="left"/>
              <w:rPr>
                <w:rFonts w:ascii="Times New Roman" w:hAnsi="Times New Roman" w:cs="Times New Roman"/>
                <w:b/>
                <w:bCs/>
                <w:i w:val="0"/>
                <w:iCs/>
                <w:sz w:val="24"/>
              </w:rPr>
            </w:pPr>
            <w:bookmarkStart w:id="1" w:name="_Hlk35941269"/>
            <w:r>
              <w:rPr>
                <w:rFonts w:ascii="Times New Roman" w:hAnsi="Times New Roman" w:cs="Times New Roman"/>
                <w:b/>
                <w:bCs/>
                <w:i w:val="0"/>
                <w:iCs/>
                <w:sz w:val="24"/>
              </w:rPr>
              <w:t>Prihvatljivi prijavitelji</w:t>
            </w:r>
          </w:p>
        </w:tc>
      </w:tr>
      <w:bookmarkEnd w:id="1"/>
    </w:tbl>
    <w:p w14:paraId="47DA78FB">
      <w:pPr>
        <w:pStyle w:val="15"/>
        <w:tabs>
          <w:tab w:val="left" w:pos="284"/>
        </w:tabs>
        <w:spacing w:after="0"/>
        <w:jc w:val="both"/>
        <w:rPr>
          <w:color w:val="000000"/>
          <w:sz w:val="24"/>
          <w:szCs w:val="24"/>
        </w:rPr>
      </w:pPr>
    </w:p>
    <w:p w14:paraId="236004D6">
      <w:pPr>
        <w:pStyle w:val="15"/>
        <w:tabs>
          <w:tab w:val="left" w:pos="284"/>
        </w:tabs>
        <w:jc w:val="both"/>
        <w:rPr>
          <w:sz w:val="24"/>
          <w:szCs w:val="24"/>
        </w:rPr>
      </w:pPr>
      <w:r>
        <w:rPr>
          <w:color w:val="000000"/>
          <w:sz w:val="24"/>
          <w:szCs w:val="24"/>
        </w:rPr>
        <w:t xml:space="preserve">Pravo podnošenja prijave imaju </w:t>
      </w:r>
      <w:r>
        <w:rPr>
          <w:sz w:val="24"/>
          <w:szCs w:val="24"/>
        </w:rPr>
        <w:t>lovoovlaštenici lovišta na području Sisačko-moslavačke županije, odnosno pravne ili fizičke osobe koje su stekle pravo lova u lovištu na području Sisačko-moslavačke županije temeljem Zakona o lovstvu, a na području Sisačko-moslavačke županije imaju jedno ili više lovišta.</w:t>
      </w:r>
    </w:p>
    <w:tbl>
      <w:tblPr>
        <w:tblStyle w:val="13"/>
        <w:tblW w:w="5000" w:type="pct"/>
        <w:tblInd w:w="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autofit"/>
        <w:tblCellMar>
          <w:top w:w="28" w:type="dxa"/>
          <w:left w:w="113" w:type="dxa"/>
          <w:bottom w:w="28" w:type="dxa"/>
          <w:right w:w="0" w:type="dxa"/>
        </w:tblCellMar>
      </w:tblPr>
      <w:tblGrid>
        <w:gridCol w:w="9899"/>
      </w:tblGrid>
      <w:tr w14:paraId="45698574">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28" w:type="dxa"/>
            <w:left w:w="113" w:type="dxa"/>
            <w:bottom w:w="28" w:type="dxa"/>
            <w:right w:w="0" w:type="dxa"/>
          </w:tblCellMar>
        </w:tblPrEx>
        <w:trPr>
          <w:trHeight w:val="308" w:hRule="exact"/>
        </w:trPr>
        <w:tc>
          <w:tcPr>
            <w:tcW w:w="5000" w:type="pct"/>
            <w:tcBorders>
              <w:top w:val="single" w:color="auto" w:sz="4" w:space="0"/>
              <w:left w:val="single" w:color="auto" w:sz="4" w:space="0"/>
              <w:bottom w:val="single" w:color="auto" w:sz="4" w:space="0"/>
              <w:right w:val="single" w:color="auto" w:sz="4" w:space="0"/>
            </w:tcBorders>
            <w:shd w:val="clear" w:color="auto" w:fill="E7E6E6" w:themeFill="background2"/>
            <w:vAlign w:val="center"/>
          </w:tcPr>
          <w:p w14:paraId="35A63C71">
            <w:pPr>
              <w:widowControl w:val="0"/>
              <w:suppressLineNumbers/>
              <w:snapToGrid w:val="0"/>
              <w:rPr>
                <w:rFonts w:ascii="Times New Roman" w:hAnsi="Times New Roman"/>
                <w:b/>
                <w:bCs/>
                <w:sz w:val="24"/>
                <w:szCs w:val="24"/>
              </w:rPr>
            </w:pPr>
            <w:r>
              <w:rPr>
                <w:rFonts w:ascii="Times New Roman" w:hAnsi="Times New Roman"/>
                <w:b/>
                <w:bCs/>
                <w:sz w:val="24"/>
                <w:szCs w:val="24"/>
              </w:rPr>
              <w:t>Uvjeti koje prijavitelj mora ispunjavati</w:t>
            </w:r>
          </w:p>
        </w:tc>
      </w:tr>
    </w:tbl>
    <w:p w14:paraId="7C319B23">
      <w:pPr>
        <w:pStyle w:val="39"/>
        <w:spacing w:after="0" w:line="240" w:lineRule="auto"/>
        <w:ind w:left="644"/>
        <w:jc w:val="both"/>
        <w:rPr>
          <w:rFonts w:ascii="Times New Roman" w:hAnsi="Times New Roman" w:eastAsia="Times New Roman"/>
          <w:sz w:val="24"/>
          <w:szCs w:val="24"/>
          <w:lang w:eastAsia="hr-HR"/>
        </w:rPr>
      </w:pPr>
    </w:p>
    <w:p w14:paraId="1619926A">
      <w:pPr>
        <w:pStyle w:val="39"/>
        <w:numPr>
          <w:ilvl w:val="0"/>
          <w:numId w:val="2"/>
        </w:numPr>
        <w:spacing w:after="0" w:line="240" w:lineRule="auto"/>
        <w:jc w:val="both"/>
        <w:rPr>
          <w:rFonts w:ascii="Times New Roman" w:hAnsi="Times New Roman" w:eastAsia="Times New Roman"/>
          <w:sz w:val="24"/>
          <w:szCs w:val="24"/>
          <w:lang w:eastAsia="hr-HR"/>
        </w:rPr>
      </w:pPr>
      <w:r>
        <w:rPr>
          <w:rFonts w:ascii="Times New Roman" w:hAnsi="Times New Roman" w:eastAsia="Times New Roman"/>
          <w:sz w:val="24"/>
          <w:szCs w:val="24"/>
          <w:lang w:eastAsia="hr-HR"/>
        </w:rPr>
        <w:t>upis u odgovarajući registar (trgovački, obrtnički, udruga, ustanova)</w:t>
      </w:r>
    </w:p>
    <w:p w14:paraId="6E12BA5B">
      <w:pPr>
        <w:pStyle w:val="39"/>
        <w:numPr>
          <w:ilvl w:val="0"/>
          <w:numId w:val="2"/>
        </w:numPr>
        <w:spacing w:after="0" w:line="240" w:lineRule="auto"/>
        <w:jc w:val="both"/>
        <w:rPr>
          <w:rFonts w:ascii="Times New Roman" w:hAnsi="Times New Roman" w:eastAsia="Times New Roman"/>
          <w:sz w:val="24"/>
          <w:szCs w:val="24"/>
          <w:lang w:eastAsia="hr-HR"/>
        </w:rPr>
      </w:pPr>
      <w:r>
        <w:rPr>
          <w:rFonts w:ascii="Times New Roman" w:hAnsi="Times New Roman" w:eastAsia="Times New Roman"/>
          <w:sz w:val="24"/>
          <w:szCs w:val="24"/>
          <w:lang w:eastAsia="hr-HR"/>
        </w:rPr>
        <w:t>organizacijski kapaciteti i ljudski resursi za provedbu projekta i transparentno upravljanje javnim sredstvima</w:t>
      </w:r>
    </w:p>
    <w:p w14:paraId="5F842AB2">
      <w:pPr>
        <w:pStyle w:val="39"/>
        <w:numPr>
          <w:ilvl w:val="0"/>
          <w:numId w:val="2"/>
        </w:numPr>
        <w:spacing w:after="0" w:line="240" w:lineRule="auto"/>
        <w:jc w:val="both"/>
        <w:rPr>
          <w:rFonts w:ascii="Times New Roman" w:hAnsi="Times New Roman" w:eastAsia="Times New Roman"/>
          <w:sz w:val="24"/>
          <w:szCs w:val="24"/>
          <w:lang w:eastAsia="hr-HR"/>
        </w:rPr>
      </w:pPr>
      <w:r>
        <w:rPr>
          <w:rFonts w:ascii="Times New Roman" w:hAnsi="Times New Roman" w:eastAsia="Times New Roman"/>
          <w:sz w:val="24"/>
          <w:szCs w:val="24"/>
          <w:lang w:eastAsia="hr-HR"/>
        </w:rPr>
        <w:t>nepostojanje dugovanja iz pozicija javnih davanja</w:t>
      </w:r>
    </w:p>
    <w:p w14:paraId="6C66CF65">
      <w:pPr>
        <w:pStyle w:val="39"/>
        <w:numPr>
          <w:ilvl w:val="0"/>
          <w:numId w:val="2"/>
        </w:numPr>
        <w:spacing w:after="0" w:line="240" w:lineRule="auto"/>
        <w:jc w:val="both"/>
        <w:rPr>
          <w:rFonts w:ascii="Times New Roman" w:hAnsi="Times New Roman" w:eastAsia="Times New Roman"/>
          <w:sz w:val="24"/>
          <w:szCs w:val="24"/>
          <w:lang w:eastAsia="hr-HR"/>
        </w:rPr>
      </w:pPr>
      <w:r>
        <w:rPr>
          <w:rFonts w:ascii="Times New Roman" w:hAnsi="Times New Roman" w:eastAsia="Times New Roman"/>
          <w:sz w:val="24"/>
          <w:szCs w:val="24"/>
          <w:lang w:eastAsia="hr-HR"/>
        </w:rPr>
        <w:t>uredno podmirene obveze plaćanja naknade za pravo lova</w:t>
      </w:r>
    </w:p>
    <w:p w14:paraId="248B4EA5">
      <w:pPr>
        <w:pStyle w:val="39"/>
        <w:numPr>
          <w:ilvl w:val="0"/>
          <w:numId w:val="2"/>
        </w:numPr>
        <w:spacing w:after="0" w:line="240" w:lineRule="auto"/>
        <w:jc w:val="both"/>
        <w:rPr>
          <w:rFonts w:ascii="Times New Roman" w:hAnsi="Times New Roman" w:eastAsia="Times New Roman"/>
          <w:sz w:val="24"/>
          <w:szCs w:val="24"/>
          <w:lang w:eastAsia="hr-HR"/>
        </w:rPr>
      </w:pPr>
      <w:r>
        <w:rPr>
          <w:rFonts w:ascii="Times New Roman" w:hAnsi="Times New Roman"/>
          <w:sz w:val="24"/>
          <w:szCs w:val="24"/>
        </w:rPr>
        <w:t>uredno izvršenje ugovornih obveza za dobivene bespovratne novčane potpore iz proračuna SMŽ za istu namjenu iz prethodnog razdoblja</w:t>
      </w:r>
    </w:p>
    <w:p w14:paraId="3F2F42A3">
      <w:pPr>
        <w:pStyle w:val="39"/>
        <w:numPr>
          <w:ilvl w:val="0"/>
          <w:numId w:val="2"/>
        </w:numPr>
        <w:spacing w:after="0" w:line="240" w:lineRule="auto"/>
        <w:jc w:val="both"/>
        <w:rPr>
          <w:rFonts w:ascii="Times New Roman" w:hAnsi="Times New Roman" w:eastAsia="Times New Roman"/>
          <w:sz w:val="24"/>
          <w:szCs w:val="24"/>
          <w:lang w:eastAsia="hr-HR"/>
        </w:rPr>
      </w:pPr>
      <w:r>
        <w:rPr>
          <w:rFonts w:ascii="Times New Roman" w:hAnsi="Times New Roman" w:eastAsia="Times New Roman"/>
          <w:sz w:val="24"/>
          <w:szCs w:val="24"/>
          <w:lang w:eastAsia="hr-HR"/>
        </w:rPr>
        <w:t>uvjerenje da se protiv prijavitelja (udruga, obrt, trgovačko društvo, ustanova) ne vodi kazneni postupak</w:t>
      </w:r>
    </w:p>
    <w:p w14:paraId="131C4541">
      <w:pPr>
        <w:pStyle w:val="39"/>
        <w:numPr>
          <w:ilvl w:val="0"/>
          <w:numId w:val="2"/>
        </w:numPr>
        <w:spacing w:after="0" w:line="240" w:lineRule="auto"/>
        <w:jc w:val="both"/>
        <w:rPr>
          <w:rFonts w:ascii="Times New Roman" w:hAnsi="Times New Roman" w:eastAsia="Times New Roman"/>
          <w:sz w:val="24"/>
          <w:szCs w:val="24"/>
          <w:lang w:eastAsia="hr-HR"/>
        </w:rPr>
      </w:pPr>
      <w:r>
        <w:rPr>
          <w:rFonts w:ascii="Times New Roman" w:hAnsi="Times New Roman" w:eastAsia="Times New Roman"/>
          <w:sz w:val="24"/>
          <w:szCs w:val="24"/>
          <w:lang w:eastAsia="hr-HR"/>
        </w:rPr>
        <w:t>uvjerenje da se protiv osobe ovlaštene za zastupanje ne vodi kazneni postupak</w:t>
      </w:r>
    </w:p>
    <w:p w14:paraId="21E420B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Ukoliko je prijavitelj </w:t>
      </w:r>
      <w:r>
        <w:rPr>
          <w:rFonts w:ascii="Times New Roman" w:hAnsi="Times New Roman" w:eastAsia="PMingLiU"/>
          <w:sz w:val="24"/>
          <w:szCs w:val="24"/>
          <w:lang w:eastAsia="zh-TW"/>
        </w:rPr>
        <w:t>već koristio bespovratna novčana sredstva iz nekih drugih izvora za istu namjenu neće moći biti sufinanciran po ovom Javnom pozivu.</w:t>
      </w:r>
    </w:p>
    <w:p w14:paraId="7ACB9B13">
      <w:pPr>
        <w:spacing w:after="0" w:line="240" w:lineRule="auto"/>
        <w:jc w:val="both"/>
        <w:rPr>
          <w:rFonts w:ascii="Times New Roman" w:hAnsi="Times New Roman" w:eastAsiaTheme="minorHAnsi"/>
          <w:sz w:val="24"/>
          <w:szCs w:val="24"/>
        </w:rPr>
      </w:pPr>
    </w:p>
    <w:p w14:paraId="47C8FC3A">
      <w:pPr>
        <w:spacing w:after="0" w:line="240" w:lineRule="auto"/>
        <w:jc w:val="both"/>
        <w:rPr>
          <w:rFonts w:ascii="Times New Roman" w:hAnsi="Times New Roman" w:eastAsiaTheme="minorHAnsi"/>
          <w:sz w:val="24"/>
          <w:szCs w:val="24"/>
        </w:rPr>
      </w:pPr>
      <w:r>
        <w:rPr>
          <w:rFonts w:ascii="Times New Roman" w:hAnsi="Times New Roman" w:eastAsiaTheme="minorHAnsi"/>
          <w:sz w:val="24"/>
          <w:szCs w:val="24"/>
        </w:rPr>
        <w:t xml:space="preserve">Prihvatljivi prijavitelj mora ispunjavati sve uvjete propisane Odlukom, Javnim pozivom i ovim Uputama za prijavitelje. </w:t>
      </w:r>
    </w:p>
    <w:p w14:paraId="529AEFC0">
      <w:pPr>
        <w:spacing w:after="0" w:line="240" w:lineRule="auto"/>
        <w:jc w:val="both"/>
        <w:rPr>
          <w:rFonts w:ascii="Times New Roman" w:hAnsi="Times New Roman" w:eastAsia="Times New Roman"/>
          <w:b/>
          <w:sz w:val="24"/>
          <w:szCs w:val="24"/>
          <w:lang w:eastAsia="hr-HR"/>
        </w:rPr>
      </w:pPr>
    </w:p>
    <w:p w14:paraId="048129CC">
      <w:pPr>
        <w:pStyle w:val="39"/>
        <w:numPr>
          <w:ilvl w:val="0"/>
          <w:numId w:val="1"/>
        </w:numPr>
        <w:spacing w:after="0" w:line="240" w:lineRule="auto"/>
        <w:jc w:val="both"/>
        <w:rPr>
          <w:rFonts w:ascii="Times New Roman" w:hAnsi="Times New Roman" w:eastAsia="Times New Roman"/>
          <w:b/>
          <w:sz w:val="24"/>
          <w:szCs w:val="24"/>
          <w:lang w:eastAsia="hr-HR"/>
        </w:rPr>
      </w:pPr>
      <w:r>
        <w:rPr>
          <w:rFonts w:ascii="Times New Roman" w:hAnsi="Times New Roman" w:eastAsia="Times New Roman"/>
          <w:b/>
          <w:sz w:val="24"/>
          <w:szCs w:val="24"/>
          <w:lang w:eastAsia="hr-HR"/>
        </w:rPr>
        <w:t xml:space="preserve">MJERE, AKTIVNOSTI, PRIHVATLJIVI TROŠKOVI, UVJETI ZA DODJELU </w:t>
      </w:r>
    </w:p>
    <w:p w14:paraId="6A2D19B9">
      <w:pPr>
        <w:pStyle w:val="39"/>
        <w:spacing w:after="0" w:line="240" w:lineRule="auto"/>
        <w:jc w:val="both"/>
        <w:rPr>
          <w:rFonts w:ascii="Times New Roman" w:hAnsi="Times New Roman" w:eastAsia="Times New Roman"/>
          <w:b/>
          <w:sz w:val="24"/>
          <w:szCs w:val="24"/>
          <w:lang w:eastAsia="hr-HR"/>
        </w:rPr>
      </w:pPr>
      <w:r>
        <w:rPr>
          <w:rFonts w:ascii="Times New Roman" w:hAnsi="Times New Roman" w:eastAsia="Times New Roman"/>
          <w:b/>
          <w:sz w:val="24"/>
          <w:szCs w:val="24"/>
          <w:lang w:eastAsia="hr-HR"/>
        </w:rPr>
        <w:t>I IZNOSI BESPOVRATNIH NOVČANIH POTPORA</w:t>
      </w:r>
    </w:p>
    <w:p w14:paraId="5F40CB43">
      <w:pPr>
        <w:pStyle w:val="39"/>
        <w:spacing w:after="0" w:line="240" w:lineRule="auto"/>
        <w:jc w:val="both"/>
        <w:rPr>
          <w:rFonts w:ascii="Times New Roman" w:hAnsi="Times New Roman" w:eastAsia="Times New Roman"/>
          <w:b/>
          <w:sz w:val="16"/>
          <w:szCs w:val="16"/>
          <w:lang w:eastAsia="hr-HR"/>
        </w:rPr>
      </w:pPr>
    </w:p>
    <w:p w14:paraId="53C2A93F">
      <w:pPr>
        <w:spacing w:after="0" w:line="240" w:lineRule="auto"/>
        <w:jc w:val="both"/>
        <w:rPr>
          <w:rFonts w:ascii="Times New Roman" w:hAnsi="Times New Roman" w:eastAsia="Times New Roman"/>
          <w:b/>
          <w:sz w:val="24"/>
          <w:szCs w:val="24"/>
          <w:lang w:eastAsia="hr-HR"/>
        </w:rPr>
      </w:pPr>
      <w:r>
        <w:rPr>
          <w:rFonts w:ascii="Times New Roman" w:hAnsi="Times New Roman" w:eastAsia="Times New Roman"/>
          <w:b/>
          <w:sz w:val="24"/>
          <w:szCs w:val="24"/>
          <w:lang w:eastAsia="hr-HR"/>
        </w:rPr>
        <w:t>Mjera 1. Razvoj i unaprjeđenje lovstva</w:t>
      </w:r>
    </w:p>
    <w:p w14:paraId="6DE3C2E8">
      <w:pPr>
        <w:spacing w:after="0" w:line="240" w:lineRule="auto"/>
        <w:jc w:val="center"/>
        <w:rPr>
          <w:rFonts w:ascii="Times New Roman" w:hAnsi="Times New Roman" w:eastAsia="Times New Roman"/>
          <w:b/>
          <w:sz w:val="16"/>
          <w:szCs w:val="16"/>
          <w:lang w:eastAsia="hr-HR"/>
        </w:rPr>
      </w:pPr>
    </w:p>
    <w:p w14:paraId="55B92322">
      <w:pPr>
        <w:shd w:val="clear" w:color="auto" w:fill="FFFFFF" w:themeFill="background1"/>
        <w:spacing w:after="0" w:line="240" w:lineRule="auto"/>
        <w:jc w:val="both"/>
        <w:rPr>
          <w:rFonts w:ascii="Times New Roman" w:hAnsi="Times New Roman" w:eastAsia="Times New Roman"/>
          <w:bCs/>
          <w:sz w:val="24"/>
          <w:szCs w:val="24"/>
          <w:lang w:eastAsia="hr-HR"/>
        </w:rPr>
      </w:pPr>
      <w:r>
        <w:rPr>
          <w:rFonts w:ascii="Times New Roman" w:hAnsi="Times New Roman" w:eastAsia="Times New Roman"/>
          <w:b/>
          <w:sz w:val="24"/>
          <w:szCs w:val="24"/>
          <w:lang w:eastAsia="hr-HR"/>
        </w:rPr>
        <w:t xml:space="preserve">Opis mjere: </w:t>
      </w:r>
      <w:r>
        <w:rPr>
          <w:rFonts w:ascii="Times New Roman" w:hAnsi="Times New Roman" w:eastAsia="Times New Roman"/>
          <w:bCs/>
          <w:sz w:val="24"/>
          <w:szCs w:val="24"/>
          <w:lang w:eastAsia="hr-HR"/>
        </w:rPr>
        <w:t xml:space="preserve">Gospodarenje s divljači i lovištem uvjet je za dobro lovno gospodarenje s ciljem </w:t>
      </w:r>
      <w:r>
        <w:rPr>
          <w:rFonts w:ascii="Times New Roman" w:hAnsi="Times New Roman" w:eastAsia="Times New Roman"/>
          <w:sz w:val="24"/>
          <w:szCs w:val="24"/>
          <w:lang w:eastAsia="hr-HR"/>
        </w:rPr>
        <w:t xml:space="preserve">osiguravanja potrajnog gospodarenja s divljači i potrajnog korištenje prava lova, zaštite i očuvanja biološke i ekološke ravnoteže prirodnih staništa divljači i drugih životinjskih vrsta koje ne štete drugim ekosustavima, a sve sukladno Zakonu o lovstvu i pripadajućim podzakonskim aktima. </w:t>
      </w:r>
      <w:r>
        <w:rPr>
          <w:rFonts w:ascii="Times New Roman" w:hAnsi="Times New Roman" w:eastAsia="Times New Roman"/>
          <w:bCs/>
          <w:sz w:val="24"/>
          <w:szCs w:val="24"/>
          <w:lang w:eastAsia="hr-HR"/>
        </w:rPr>
        <w:t xml:space="preserve">Jedan od važnih čimbenika u funkciji razvoja lovnog turizma je izgrađena i opremljena lovna infrastruktura, odnosno lovnogospodarski i lovnotehnički </w:t>
      </w:r>
      <w:r>
        <w:rPr>
          <w:rFonts w:ascii="Times New Roman" w:hAnsi="Times New Roman" w:eastAsia="Times New Roman"/>
          <w:bCs/>
          <w:color w:val="000000" w:themeColor="text1"/>
          <w:sz w:val="24"/>
          <w:szCs w:val="24"/>
          <w:lang w:eastAsia="hr-HR"/>
          <w14:textFill>
            <w14:solidFill>
              <w14:schemeClr w14:val="tx1"/>
            </w14:solidFill>
          </w14:textFill>
        </w:rPr>
        <w:t xml:space="preserve">objekti </w:t>
      </w:r>
      <w:r>
        <w:rPr>
          <w:rFonts w:ascii="Times New Roman" w:hAnsi="Times New Roman" w:eastAsia="Times New Roman"/>
          <w:bCs/>
          <w:sz w:val="24"/>
          <w:szCs w:val="24"/>
          <w:lang w:eastAsia="hr-HR"/>
        </w:rPr>
        <w:t>koji su propisani lovnogospodarskom osnovom, izgrađeni i opremljeni sa svrhom lovnog gospodarenja, kao i sa svrhom razvoja lovnog turizma.</w:t>
      </w:r>
    </w:p>
    <w:p w14:paraId="3A85BC13">
      <w:pPr>
        <w:shd w:val="clear" w:color="auto" w:fill="FFFFFF" w:themeFill="background1"/>
        <w:tabs>
          <w:tab w:val="left" w:pos="2081"/>
        </w:tabs>
        <w:spacing w:after="0" w:line="240" w:lineRule="auto"/>
        <w:jc w:val="both"/>
        <w:rPr>
          <w:rFonts w:ascii="Times New Roman" w:hAnsi="Times New Roman" w:eastAsia="Times New Roman"/>
          <w:bCs/>
          <w:sz w:val="16"/>
          <w:szCs w:val="16"/>
          <w:lang w:eastAsia="hr-HR"/>
        </w:rPr>
      </w:pPr>
    </w:p>
    <w:p w14:paraId="378CEDE2">
      <w:pPr>
        <w:spacing w:after="0" w:line="240" w:lineRule="auto"/>
        <w:jc w:val="both"/>
        <w:rPr>
          <w:rFonts w:ascii="Times New Roman" w:hAnsi="Times New Roman" w:eastAsia="Times New Roman"/>
          <w:b/>
          <w:sz w:val="24"/>
          <w:szCs w:val="24"/>
          <w:lang w:eastAsia="hr-HR"/>
        </w:rPr>
      </w:pPr>
      <w:bookmarkStart w:id="2" w:name="_Hlk171071953"/>
      <w:r>
        <w:rPr>
          <w:rFonts w:ascii="Times New Roman" w:hAnsi="Times New Roman" w:eastAsia="Times New Roman"/>
          <w:b/>
          <w:sz w:val="24"/>
          <w:szCs w:val="24"/>
          <w:lang w:eastAsia="hr-HR"/>
        </w:rPr>
        <w:t>Prihvatljive aktivnosti:</w:t>
      </w:r>
    </w:p>
    <w:p w14:paraId="348ECDCB">
      <w:pPr>
        <w:numPr>
          <w:ilvl w:val="1"/>
          <w:numId w:val="3"/>
        </w:numPr>
        <w:spacing w:after="0" w:line="280" w:lineRule="exact"/>
        <w:jc w:val="both"/>
        <w:rPr>
          <w:rFonts w:ascii="Times New Roman" w:hAnsi="Times New Roman" w:eastAsiaTheme="minorHAnsi"/>
          <w:kern w:val="2"/>
          <w:sz w:val="24"/>
          <w:szCs w:val="24"/>
          <w:lang w:eastAsia="hr-HR"/>
          <w14:ligatures w14:val="standardContextual"/>
        </w:rPr>
      </w:pPr>
      <w:r>
        <w:rPr>
          <w:rFonts w:ascii="Times New Roman" w:hAnsi="Times New Roman" w:eastAsia="Times New Roman"/>
          <w:bCs/>
          <w:sz w:val="24"/>
          <w:szCs w:val="24"/>
          <w:lang w:eastAsia="hr-HR"/>
        </w:rPr>
        <w:t>Kupnja, gradnja, rekonstrukcija,</w:t>
      </w:r>
      <w:r>
        <w:rPr>
          <w:sz w:val="24"/>
          <w:szCs w:val="24"/>
        </w:rPr>
        <w:t xml:space="preserve"> </w:t>
      </w:r>
      <w:r>
        <w:rPr>
          <w:rFonts w:ascii="Times New Roman" w:hAnsi="Times New Roman" w:eastAsia="Times New Roman"/>
          <w:bCs/>
          <w:sz w:val="24"/>
          <w:szCs w:val="24"/>
          <w:lang w:eastAsia="hr-HR"/>
        </w:rPr>
        <w:t xml:space="preserve">adaptacija, uređenje, opremanje i troškovi priključaka (struja, voda, plin, odvodnja i dr.) lovačkih domova i pomoćnih objekata uz lovačke domove </w:t>
      </w:r>
      <w:r>
        <w:rPr>
          <w:rFonts w:ascii="Times New Roman" w:hAnsi="Times New Roman"/>
          <w:bCs/>
          <w:sz w:val="24"/>
          <w:szCs w:val="24"/>
        </w:rPr>
        <w:t xml:space="preserve">(pomoćne zgrade, nadstrešnice i dr.), </w:t>
      </w:r>
      <w:r>
        <w:rPr>
          <w:rFonts w:ascii="Times New Roman" w:hAnsi="Times New Roman" w:eastAsia="Times New Roman"/>
          <w:bCs/>
          <w:sz w:val="24"/>
          <w:szCs w:val="24"/>
          <w:lang w:eastAsia="hr-HR"/>
        </w:rPr>
        <w:t>te</w:t>
      </w:r>
      <w:r>
        <w:rPr>
          <w:sz w:val="24"/>
          <w:szCs w:val="24"/>
        </w:rPr>
        <w:t xml:space="preserve"> </w:t>
      </w:r>
      <w:r>
        <w:rPr>
          <w:rFonts w:ascii="Times New Roman" w:hAnsi="Times New Roman" w:eastAsia="Times New Roman"/>
          <w:bCs/>
          <w:sz w:val="24"/>
          <w:szCs w:val="24"/>
          <w:lang w:eastAsia="hr-HR"/>
        </w:rPr>
        <w:t>troškovi projektne dokumentacije koji se odnose na lovačke domove</w:t>
      </w:r>
      <w:r>
        <w:rPr>
          <w:rFonts w:ascii="Times New Roman" w:hAnsi="Times New Roman"/>
          <w:bCs/>
          <w:sz w:val="24"/>
          <w:szCs w:val="24"/>
        </w:rPr>
        <w:t xml:space="preserve"> i navedene pomoćne objekte</w:t>
      </w:r>
    </w:p>
    <w:p w14:paraId="6579C4A7">
      <w:pPr>
        <w:spacing w:after="0" w:line="280" w:lineRule="exact"/>
        <w:ind w:left="1134" w:hanging="425"/>
        <w:jc w:val="both"/>
        <w:rPr>
          <w:rFonts w:ascii="Times New Roman" w:hAnsi="Times New Roman" w:eastAsiaTheme="minorHAnsi"/>
          <w:kern w:val="2"/>
          <w:sz w:val="24"/>
          <w:szCs w:val="24"/>
          <w14:ligatures w14:val="standardContextual"/>
        </w:rPr>
      </w:pPr>
      <w:r>
        <w:rPr>
          <w:rFonts w:ascii="Times New Roman" w:hAnsi="Times New Roman" w:eastAsiaTheme="minorHAnsi"/>
          <w:kern w:val="2"/>
          <w:sz w:val="24"/>
          <w:szCs w:val="24"/>
          <w14:ligatures w14:val="standardContextual"/>
        </w:rPr>
        <w:t>1.2. Gradnja, rekonstrukcija i opremanje stacionarnih hladnjača za prihvat mesa divljači i objekata za obradu   i skladištenje odstrijeljene divljači</w:t>
      </w:r>
    </w:p>
    <w:p w14:paraId="68516FCA">
      <w:pPr>
        <w:spacing w:after="0" w:line="280" w:lineRule="exact"/>
        <w:ind w:left="1134" w:hanging="1276"/>
        <w:rPr>
          <w:rFonts w:ascii="Times New Roman" w:hAnsi="Times New Roman" w:eastAsiaTheme="minorHAnsi"/>
          <w:b/>
          <w:bCs/>
          <w:kern w:val="2"/>
          <w:sz w:val="24"/>
          <w:szCs w:val="24"/>
          <w:shd w:val="clear" w:color="auto" w:fill="EEECD1"/>
          <w14:ligatures w14:val="standardContextual"/>
        </w:rPr>
      </w:pPr>
      <w:r>
        <w:rPr>
          <w:rFonts w:ascii="Times New Roman" w:hAnsi="Times New Roman" w:eastAsiaTheme="minorHAnsi"/>
          <w:kern w:val="2"/>
          <w:sz w:val="24"/>
          <w:szCs w:val="24"/>
          <w14:ligatures w14:val="standardContextual"/>
        </w:rPr>
        <w:t xml:space="preserve">              1.3. Unaprjeđenje  lovnotehničkih  i  lovnogospodarskih objekata</w:t>
      </w:r>
      <w:r>
        <w:rPr>
          <w:rFonts w:ascii="Times New Roman" w:hAnsi="Times New Roman" w:eastAsia="Times New Roman"/>
          <w:kern w:val="2"/>
          <w:sz w:val="24"/>
          <w:szCs w:val="24"/>
          <w14:ligatures w14:val="standardContextual"/>
        </w:rPr>
        <w:t xml:space="preserve"> (hranilišta,  pojilišta, solišta, spremišta za hranu, sabirališta i zimovališta za pernatu divljač, ograde, uskočnice, kolibe i dr.)</w:t>
      </w:r>
      <w:r>
        <w:rPr>
          <w:rFonts w:ascii="Times New Roman" w:hAnsi="Times New Roman" w:eastAsiaTheme="minorHAnsi"/>
          <w:b/>
          <w:bCs/>
          <w:kern w:val="2"/>
          <w:sz w:val="24"/>
          <w:szCs w:val="24"/>
          <w:shd w:val="clear" w:color="auto" w:fill="EEECD1"/>
          <w14:ligatures w14:val="standardContextual"/>
        </w:rPr>
        <w:t xml:space="preserve"> </w:t>
      </w:r>
    </w:p>
    <w:p w14:paraId="173A84F5">
      <w:pPr>
        <w:spacing w:after="0" w:line="240" w:lineRule="auto"/>
        <w:jc w:val="both"/>
        <w:rPr>
          <w:rFonts w:ascii="Times New Roman" w:hAnsi="Times New Roman" w:eastAsia="Times New Roman"/>
          <w:bCs/>
          <w:sz w:val="24"/>
          <w:szCs w:val="24"/>
          <w:lang w:eastAsia="hr-HR"/>
        </w:rPr>
      </w:pPr>
      <w:r>
        <w:rPr>
          <w:rFonts w:ascii="Times New Roman" w:hAnsi="Times New Roman" w:eastAsia="Times New Roman"/>
          <w:bCs/>
          <w:sz w:val="24"/>
          <w:szCs w:val="24"/>
          <w:lang w:eastAsia="hr-HR"/>
        </w:rPr>
        <w:t xml:space="preserve">            1.4. Unos krupne i sitne divljači u lovište </w:t>
      </w:r>
    </w:p>
    <w:p w14:paraId="3B0B660C">
      <w:pPr>
        <w:spacing w:after="0" w:line="240" w:lineRule="auto"/>
        <w:jc w:val="both"/>
        <w:rPr>
          <w:rFonts w:ascii="Times New Roman" w:hAnsi="Times New Roman" w:eastAsia="Times New Roman"/>
          <w:bCs/>
          <w:sz w:val="16"/>
          <w:szCs w:val="16"/>
          <w:lang w:eastAsia="hr-HR"/>
        </w:rPr>
      </w:pPr>
    </w:p>
    <w:bookmarkEnd w:id="2"/>
    <w:p w14:paraId="3F56B94B">
      <w:pPr>
        <w:spacing w:after="0" w:line="240" w:lineRule="auto"/>
        <w:jc w:val="both"/>
        <w:rPr>
          <w:rFonts w:ascii="Times New Roman" w:hAnsi="Times New Roman" w:eastAsiaTheme="minorHAnsi"/>
          <w:b/>
          <w:sz w:val="24"/>
          <w:szCs w:val="24"/>
          <w:u w:val="single"/>
        </w:rPr>
      </w:pPr>
      <w:r>
        <w:rPr>
          <w:rFonts w:ascii="Times New Roman" w:hAnsi="Times New Roman" w:eastAsia="Times New Roman"/>
          <w:b/>
          <w:sz w:val="24"/>
          <w:szCs w:val="24"/>
          <w:u w:val="single"/>
          <w:lang w:eastAsia="hr-HR"/>
        </w:rPr>
        <w:t>Aktivnost 1.1.  Kupnja, gradnja, rekonstrukcija,</w:t>
      </w:r>
      <w:r>
        <w:rPr>
          <w:b/>
          <w:sz w:val="24"/>
          <w:szCs w:val="24"/>
          <w:u w:val="single"/>
        </w:rPr>
        <w:t xml:space="preserve"> </w:t>
      </w:r>
      <w:r>
        <w:rPr>
          <w:rFonts w:ascii="Times New Roman" w:hAnsi="Times New Roman" w:eastAsia="Times New Roman"/>
          <w:b/>
          <w:sz w:val="24"/>
          <w:szCs w:val="24"/>
          <w:u w:val="single"/>
          <w:lang w:eastAsia="hr-HR"/>
        </w:rPr>
        <w:t xml:space="preserve">adaptacija, uređenje, opremanje i troškovi priključaka (struja, voda, plin, odvodnja i dr.) lovačkih domova i pomoćnih objekata uz lovačke domove </w:t>
      </w:r>
      <w:r>
        <w:rPr>
          <w:rFonts w:ascii="Times New Roman" w:hAnsi="Times New Roman"/>
          <w:b/>
          <w:sz w:val="24"/>
          <w:szCs w:val="24"/>
          <w:u w:val="single"/>
        </w:rPr>
        <w:t xml:space="preserve">(pomoćne zgrade, nadstrešnice i dr.) </w:t>
      </w:r>
      <w:r>
        <w:rPr>
          <w:rFonts w:ascii="Times New Roman" w:hAnsi="Times New Roman" w:eastAsia="Times New Roman"/>
          <w:b/>
          <w:sz w:val="24"/>
          <w:szCs w:val="24"/>
          <w:u w:val="single"/>
          <w:lang w:eastAsia="hr-HR"/>
        </w:rPr>
        <w:t>te</w:t>
      </w:r>
      <w:r>
        <w:rPr>
          <w:b/>
          <w:sz w:val="24"/>
          <w:szCs w:val="24"/>
          <w:u w:val="single"/>
        </w:rPr>
        <w:t xml:space="preserve"> </w:t>
      </w:r>
      <w:r>
        <w:rPr>
          <w:rFonts w:ascii="Times New Roman" w:hAnsi="Times New Roman" w:eastAsia="Times New Roman"/>
          <w:b/>
          <w:sz w:val="24"/>
          <w:szCs w:val="24"/>
          <w:u w:val="single"/>
          <w:lang w:eastAsia="hr-HR"/>
        </w:rPr>
        <w:t>troškovi projektne dokumentacije koji se odnose na lovačke domove</w:t>
      </w:r>
      <w:r>
        <w:rPr>
          <w:rFonts w:ascii="Times New Roman" w:hAnsi="Times New Roman"/>
          <w:b/>
          <w:sz w:val="24"/>
          <w:szCs w:val="24"/>
          <w:u w:val="single"/>
        </w:rPr>
        <w:t xml:space="preserve"> i navedene pomoćne objekte</w:t>
      </w:r>
    </w:p>
    <w:p w14:paraId="7D0F5167">
      <w:pPr>
        <w:spacing w:after="0" w:line="240" w:lineRule="auto"/>
        <w:ind w:firstLine="708"/>
        <w:jc w:val="both"/>
        <w:rPr>
          <w:rFonts w:ascii="Times New Roman" w:hAnsi="Times New Roman" w:eastAsia="Times New Roman"/>
          <w:b/>
          <w:sz w:val="24"/>
          <w:szCs w:val="24"/>
          <w:lang w:eastAsia="hr-HR"/>
        </w:rPr>
      </w:pPr>
      <w:r>
        <w:rPr>
          <w:rFonts w:ascii="Times New Roman" w:hAnsi="Times New Roman" w:eastAsia="Times New Roman"/>
          <w:b/>
          <w:sz w:val="24"/>
          <w:szCs w:val="24"/>
          <w:lang w:eastAsia="hr-HR"/>
        </w:rPr>
        <w:t xml:space="preserve">Prihvatljivi troškovi: </w:t>
      </w:r>
    </w:p>
    <w:p w14:paraId="4FB2D07B">
      <w:pPr>
        <w:spacing w:after="0" w:line="240" w:lineRule="auto"/>
        <w:ind w:left="709" w:hanging="709"/>
        <w:jc w:val="both"/>
        <w:rPr>
          <w:rFonts w:ascii="Times New Roman" w:hAnsi="Times New Roman" w:eastAsiaTheme="minorHAnsi"/>
          <w:bCs/>
          <w:sz w:val="24"/>
          <w:szCs w:val="24"/>
        </w:rPr>
      </w:pPr>
      <w:r>
        <w:rPr>
          <w:rFonts w:ascii="Times New Roman" w:hAnsi="Times New Roman" w:eastAsia="Times New Roman"/>
          <w:bCs/>
          <w:sz w:val="24"/>
          <w:szCs w:val="24"/>
          <w:lang w:eastAsia="hr-HR"/>
        </w:rPr>
        <w:t xml:space="preserve">            Kupnja, gradnja, rekonstrukcija,</w:t>
      </w:r>
      <w:r>
        <w:rPr>
          <w:sz w:val="24"/>
          <w:szCs w:val="24"/>
        </w:rPr>
        <w:t xml:space="preserve"> </w:t>
      </w:r>
      <w:r>
        <w:rPr>
          <w:rFonts w:ascii="Times New Roman" w:hAnsi="Times New Roman" w:eastAsia="Times New Roman"/>
          <w:bCs/>
          <w:sz w:val="24"/>
          <w:szCs w:val="24"/>
          <w:lang w:eastAsia="hr-HR"/>
        </w:rPr>
        <w:t xml:space="preserve">adaptacija, uređenje, opremanje i troškovi priključaka (struja, voda, plin, odvodnja i dr.) lovačkih domova i pomoćnih objekata uz lovačke domove </w:t>
      </w:r>
      <w:r>
        <w:rPr>
          <w:rFonts w:ascii="Times New Roman" w:hAnsi="Times New Roman"/>
          <w:bCs/>
          <w:sz w:val="24"/>
          <w:szCs w:val="24"/>
        </w:rPr>
        <w:t xml:space="preserve">(pomoćne zgrade, nadstrešnice i dr.), </w:t>
      </w:r>
      <w:r>
        <w:rPr>
          <w:rFonts w:ascii="Times New Roman" w:hAnsi="Times New Roman" w:eastAsia="Times New Roman"/>
          <w:bCs/>
          <w:sz w:val="24"/>
          <w:szCs w:val="24"/>
          <w:lang w:eastAsia="hr-HR"/>
        </w:rPr>
        <w:t>te</w:t>
      </w:r>
      <w:r>
        <w:rPr>
          <w:sz w:val="24"/>
          <w:szCs w:val="24"/>
        </w:rPr>
        <w:t xml:space="preserve"> </w:t>
      </w:r>
      <w:r>
        <w:rPr>
          <w:rFonts w:ascii="Times New Roman" w:hAnsi="Times New Roman" w:eastAsia="Times New Roman"/>
          <w:bCs/>
          <w:sz w:val="24"/>
          <w:szCs w:val="24"/>
          <w:lang w:eastAsia="hr-HR"/>
        </w:rPr>
        <w:t>troškovi projektne dokumentacije koji se odnose na lovačke domove</w:t>
      </w:r>
      <w:r>
        <w:rPr>
          <w:rFonts w:ascii="Times New Roman" w:hAnsi="Times New Roman"/>
          <w:bCs/>
          <w:sz w:val="24"/>
          <w:szCs w:val="24"/>
        </w:rPr>
        <w:t xml:space="preserve"> i navedene pomoćne objekte</w:t>
      </w:r>
    </w:p>
    <w:p w14:paraId="19F4E676">
      <w:pPr>
        <w:spacing w:after="0" w:line="240" w:lineRule="auto"/>
        <w:jc w:val="both"/>
        <w:rPr>
          <w:rFonts w:ascii="Times New Roman" w:hAnsi="Times New Roman" w:eastAsia="Times New Roman"/>
          <w:b/>
          <w:sz w:val="24"/>
          <w:szCs w:val="24"/>
          <w:lang w:eastAsia="hr-HR"/>
        </w:rPr>
      </w:pPr>
      <w:r>
        <w:rPr>
          <w:rFonts w:ascii="Times New Roman" w:hAnsi="Times New Roman" w:eastAsia="Times New Roman"/>
          <w:bCs/>
          <w:sz w:val="24"/>
          <w:szCs w:val="24"/>
          <w:lang w:eastAsia="hr-HR"/>
        </w:rPr>
        <w:t xml:space="preserve">            </w:t>
      </w:r>
      <w:r>
        <w:rPr>
          <w:rFonts w:ascii="Times New Roman" w:hAnsi="Times New Roman" w:eastAsia="Times New Roman"/>
          <w:b/>
          <w:sz w:val="24"/>
          <w:szCs w:val="24"/>
          <w:lang w:eastAsia="hr-HR"/>
        </w:rPr>
        <w:t xml:space="preserve">Uvjeti za dodjelu bespovratne novčane potpore: </w:t>
      </w:r>
    </w:p>
    <w:p w14:paraId="633A064C">
      <w:pPr>
        <w:spacing w:after="0" w:line="240" w:lineRule="auto"/>
        <w:ind w:left="708"/>
        <w:jc w:val="both"/>
        <w:rPr>
          <w:rFonts w:ascii="Times New Roman" w:hAnsi="Times New Roman" w:eastAsia="Times New Roman"/>
          <w:bCs/>
          <w:sz w:val="24"/>
          <w:szCs w:val="24"/>
          <w:lang w:eastAsia="hr-HR"/>
        </w:rPr>
      </w:pPr>
      <w:r>
        <w:rPr>
          <w:rFonts w:ascii="Times New Roman" w:hAnsi="Times New Roman" w:eastAsia="Times New Roman"/>
          <w:bCs/>
          <w:sz w:val="24"/>
          <w:szCs w:val="24"/>
          <w:lang w:eastAsia="hr-HR"/>
        </w:rPr>
        <w:t>Lovački dom mora biti u vlasništvu korisnika ili korisnik mora imati zaključen Ugovor o najmu na najmanje pet (5) godina</w:t>
      </w:r>
    </w:p>
    <w:p w14:paraId="44106BC0">
      <w:pPr>
        <w:spacing w:after="0" w:line="240" w:lineRule="auto"/>
        <w:ind w:firstLine="708"/>
        <w:jc w:val="both"/>
        <w:rPr>
          <w:rFonts w:ascii="Times New Roman" w:hAnsi="Times New Roman" w:eastAsia="Times New Roman"/>
          <w:b/>
          <w:bCs/>
          <w:sz w:val="24"/>
          <w:szCs w:val="24"/>
          <w:lang w:eastAsia="hr-HR"/>
        </w:rPr>
      </w:pPr>
      <w:r>
        <w:rPr>
          <w:rFonts w:ascii="Times New Roman" w:hAnsi="Times New Roman" w:eastAsia="Times New Roman"/>
          <w:b/>
          <w:bCs/>
          <w:sz w:val="24"/>
          <w:szCs w:val="24"/>
          <w:lang w:eastAsia="hr-HR"/>
        </w:rPr>
        <w:t xml:space="preserve">Iznos bespovratne novčane potpore: </w:t>
      </w:r>
    </w:p>
    <w:p w14:paraId="45026BEF">
      <w:pPr>
        <w:spacing w:after="0" w:line="240" w:lineRule="auto"/>
        <w:ind w:firstLine="708"/>
        <w:jc w:val="both"/>
        <w:rPr>
          <w:rFonts w:ascii="Times New Roman" w:hAnsi="Times New Roman" w:eastAsia="Times New Roman"/>
          <w:bCs/>
          <w:sz w:val="24"/>
          <w:szCs w:val="24"/>
          <w:lang w:eastAsia="hr-HR"/>
        </w:rPr>
      </w:pPr>
      <w:r>
        <w:rPr>
          <w:rFonts w:ascii="Times New Roman" w:hAnsi="Times New Roman" w:eastAsia="Times New Roman"/>
          <w:bCs/>
          <w:sz w:val="24"/>
          <w:szCs w:val="24"/>
          <w:lang w:eastAsia="hr-HR"/>
        </w:rPr>
        <w:t>Do 75% iznosa prihvatljivih troškova sukladno plaćenim računima</w:t>
      </w:r>
    </w:p>
    <w:p w14:paraId="08F378BC">
      <w:pPr>
        <w:spacing w:after="0" w:line="240" w:lineRule="auto"/>
        <w:jc w:val="both"/>
        <w:rPr>
          <w:rFonts w:ascii="Times New Roman" w:hAnsi="Times New Roman" w:eastAsia="Times New Roman"/>
          <w:bCs/>
          <w:sz w:val="16"/>
          <w:szCs w:val="16"/>
          <w:vertAlign w:val="subscript"/>
          <w:lang w:eastAsia="hr-HR"/>
        </w:rPr>
      </w:pPr>
    </w:p>
    <w:p w14:paraId="7F6B6DA7">
      <w:pPr>
        <w:spacing w:after="0" w:line="240" w:lineRule="auto"/>
        <w:jc w:val="both"/>
        <w:rPr>
          <w:rFonts w:ascii="Times New Roman" w:hAnsi="Times New Roman" w:eastAsiaTheme="minorHAnsi"/>
          <w:b/>
          <w:bCs/>
          <w:sz w:val="24"/>
          <w:szCs w:val="24"/>
          <w:u w:val="single"/>
        </w:rPr>
      </w:pPr>
      <w:bookmarkStart w:id="3" w:name="_Hlk32215801"/>
      <w:r>
        <w:rPr>
          <w:rFonts w:ascii="Times New Roman" w:hAnsi="Times New Roman" w:eastAsia="Times New Roman"/>
          <w:b/>
          <w:sz w:val="24"/>
          <w:szCs w:val="24"/>
          <w:u w:val="single"/>
          <w:lang w:eastAsia="hr-HR"/>
        </w:rPr>
        <w:t xml:space="preserve">Aktivnost 1.2. </w:t>
      </w:r>
      <w:r>
        <w:rPr>
          <w:rFonts w:ascii="Times New Roman" w:hAnsi="Times New Roman" w:eastAsiaTheme="minorHAnsi"/>
          <w:b/>
          <w:bCs/>
          <w:sz w:val="24"/>
          <w:szCs w:val="24"/>
          <w:u w:val="single"/>
        </w:rPr>
        <w:t xml:space="preserve">Gradnja, rekonstrukcija i opremanje stacionarnih hladnjača za prihvat mesa divljači </w:t>
      </w:r>
      <w:bookmarkStart w:id="4" w:name="_Hlk32215432"/>
      <w:r>
        <w:rPr>
          <w:rFonts w:ascii="Times New Roman" w:hAnsi="Times New Roman" w:eastAsiaTheme="minorHAnsi"/>
          <w:b/>
          <w:bCs/>
          <w:sz w:val="24"/>
          <w:szCs w:val="24"/>
          <w:u w:val="single"/>
        </w:rPr>
        <w:t>i objekata za obradu i skladištenje odstrijeljene divljači</w:t>
      </w:r>
      <w:bookmarkEnd w:id="4"/>
      <w:bookmarkStart w:id="5" w:name="_Hlk32219251"/>
    </w:p>
    <w:bookmarkEnd w:id="5"/>
    <w:p w14:paraId="575AAA0F">
      <w:pPr>
        <w:spacing w:after="0" w:line="240" w:lineRule="auto"/>
        <w:ind w:firstLine="708"/>
        <w:jc w:val="both"/>
        <w:rPr>
          <w:rFonts w:ascii="Times New Roman" w:hAnsi="Times New Roman" w:eastAsia="Times New Roman"/>
          <w:b/>
          <w:sz w:val="24"/>
          <w:szCs w:val="24"/>
          <w:lang w:eastAsia="hr-HR"/>
        </w:rPr>
      </w:pPr>
      <w:bookmarkStart w:id="6" w:name="_Hlk32218203"/>
      <w:r>
        <w:rPr>
          <w:rFonts w:ascii="Times New Roman" w:hAnsi="Times New Roman" w:eastAsia="Times New Roman"/>
          <w:b/>
          <w:sz w:val="24"/>
          <w:szCs w:val="24"/>
          <w:lang w:eastAsia="hr-HR"/>
        </w:rPr>
        <w:t xml:space="preserve">Prihvatljivi troškovi: </w:t>
      </w:r>
    </w:p>
    <w:p w14:paraId="4C3AEE2B">
      <w:pPr>
        <w:spacing w:after="0" w:line="280" w:lineRule="exact"/>
        <w:ind w:left="708"/>
        <w:jc w:val="both"/>
        <w:rPr>
          <w:rFonts w:ascii="Times New Roman" w:hAnsi="Times New Roman" w:eastAsiaTheme="minorHAnsi"/>
          <w:kern w:val="2"/>
          <w:sz w:val="24"/>
          <w:szCs w:val="24"/>
          <w:lang w:eastAsia="hr-HR"/>
          <w14:ligatures w14:val="standardContextual"/>
        </w:rPr>
      </w:pPr>
      <w:r>
        <w:rPr>
          <w:rFonts w:ascii="Times New Roman" w:hAnsi="Times New Roman" w:eastAsiaTheme="minorHAnsi"/>
          <w:kern w:val="2"/>
          <w:sz w:val="24"/>
          <w:szCs w:val="24"/>
          <w14:ligatures w14:val="standardContextual"/>
        </w:rPr>
        <w:t xml:space="preserve">Gradnja, rekonstrukcija i opremanje stacionarne hladnjače za prihvat mesa divljači i objekata za obradu i skladištenje odstrijeljene divljači </w:t>
      </w:r>
    </w:p>
    <w:p w14:paraId="43C24725">
      <w:pPr>
        <w:spacing w:after="0" w:line="240" w:lineRule="auto"/>
        <w:ind w:firstLine="708"/>
        <w:jc w:val="both"/>
        <w:rPr>
          <w:rFonts w:ascii="Times New Roman" w:hAnsi="Times New Roman" w:eastAsia="Times New Roman"/>
          <w:b/>
          <w:bCs/>
          <w:sz w:val="24"/>
          <w:szCs w:val="24"/>
          <w:lang w:eastAsia="hr-HR"/>
        </w:rPr>
      </w:pPr>
      <w:r>
        <w:rPr>
          <w:rFonts w:ascii="Times New Roman" w:hAnsi="Times New Roman" w:eastAsia="Times New Roman"/>
          <w:b/>
          <w:bCs/>
          <w:sz w:val="24"/>
          <w:szCs w:val="24"/>
          <w:lang w:eastAsia="hr-HR"/>
        </w:rPr>
        <w:t xml:space="preserve">Iznos bespovratne novčane potpore: </w:t>
      </w:r>
    </w:p>
    <w:p w14:paraId="0F301D1A">
      <w:pPr>
        <w:spacing w:after="0" w:line="240" w:lineRule="auto"/>
        <w:ind w:firstLine="708"/>
        <w:jc w:val="both"/>
        <w:rPr>
          <w:rFonts w:ascii="Times New Roman" w:hAnsi="Times New Roman" w:eastAsia="Times New Roman"/>
          <w:b/>
          <w:sz w:val="24"/>
          <w:szCs w:val="24"/>
          <w:u w:val="single"/>
          <w:lang w:eastAsia="hr-HR"/>
        </w:rPr>
      </w:pPr>
      <w:r>
        <w:rPr>
          <w:rFonts w:ascii="Times New Roman" w:hAnsi="Times New Roman" w:eastAsia="Times New Roman"/>
          <w:bCs/>
          <w:sz w:val="24"/>
          <w:szCs w:val="24"/>
          <w:lang w:eastAsia="hr-HR"/>
        </w:rPr>
        <w:t>Do 75% iznosa prihvatljivih troškova sukladno plaćenim računima</w:t>
      </w:r>
      <w:bookmarkEnd w:id="3"/>
      <w:bookmarkEnd w:id="6"/>
      <w:bookmarkStart w:id="7" w:name="_Hlk32231856"/>
    </w:p>
    <w:p w14:paraId="43D92CF0">
      <w:pPr>
        <w:spacing w:after="0" w:line="240" w:lineRule="auto"/>
        <w:jc w:val="both"/>
        <w:rPr>
          <w:rFonts w:ascii="Times New Roman" w:hAnsi="Times New Roman" w:eastAsia="Times New Roman"/>
          <w:b/>
          <w:sz w:val="24"/>
          <w:szCs w:val="24"/>
          <w:u w:val="single"/>
          <w:lang w:eastAsia="hr-HR"/>
        </w:rPr>
      </w:pPr>
    </w:p>
    <w:p w14:paraId="7D9DB964">
      <w:pPr>
        <w:spacing w:after="0" w:line="240" w:lineRule="auto"/>
        <w:jc w:val="both"/>
        <w:rPr>
          <w:rFonts w:ascii="Times New Roman" w:hAnsi="Times New Roman" w:eastAsia="Times New Roman"/>
          <w:b/>
          <w:bCs/>
          <w:sz w:val="24"/>
          <w:szCs w:val="24"/>
          <w:u w:val="single"/>
          <w:lang w:eastAsia="hr-HR"/>
        </w:rPr>
      </w:pPr>
      <w:r>
        <w:rPr>
          <w:rFonts w:ascii="Times New Roman" w:hAnsi="Times New Roman" w:eastAsia="Times New Roman"/>
          <w:b/>
          <w:sz w:val="24"/>
          <w:szCs w:val="24"/>
          <w:u w:val="single"/>
          <w:lang w:eastAsia="hr-HR"/>
        </w:rPr>
        <w:t>Aktivnost 1.3.</w:t>
      </w:r>
      <w:bookmarkEnd w:id="7"/>
      <w:r>
        <w:rPr>
          <w:rFonts w:ascii="Times New Roman" w:hAnsi="Times New Roman" w:eastAsia="Times New Roman"/>
          <w:b/>
          <w:sz w:val="24"/>
          <w:szCs w:val="24"/>
          <w:u w:val="single"/>
          <w:lang w:eastAsia="hr-HR"/>
        </w:rPr>
        <w:t xml:space="preserve"> </w:t>
      </w:r>
      <w:r>
        <w:rPr>
          <w:rFonts w:ascii="Times New Roman" w:hAnsi="Times New Roman" w:eastAsiaTheme="minorHAnsi"/>
          <w:b/>
          <w:bCs/>
          <w:sz w:val="24"/>
          <w:szCs w:val="24"/>
          <w:u w:val="single"/>
        </w:rPr>
        <w:t>Unaprjeđenje lovnotehničkih i lovnogospodarskih objekata</w:t>
      </w:r>
      <w:r>
        <w:rPr>
          <w:rFonts w:ascii="Times New Roman" w:hAnsi="Times New Roman" w:eastAsia="Times New Roman"/>
          <w:b/>
          <w:bCs/>
          <w:sz w:val="24"/>
          <w:szCs w:val="24"/>
          <w:u w:val="single"/>
          <w:lang w:eastAsia="hr-HR"/>
        </w:rPr>
        <w:t xml:space="preserve"> (hranilišta, pojilišta, solišta, spremišta za hranu, sabirališta i zimovališta za pernatu divljač, ograde, uskočnice, kolibe i dr.)</w:t>
      </w:r>
    </w:p>
    <w:p w14:paraId="26DE391A">
      <w:pPr>
        <w:spacing w:after="0" w:line="240" w:lineRule="auto"/>
        <w:ind w:firstLine="708"/>
        <w:jc w:val="both"/>
        <w:rPr>
          <w:rFonts w:ascii="Times New Roman" w:hAnsi="Times New Roman" w:eastAsia="Times New Roman"/>
          <w:b/>
          <w:sz w:val="24"/>
          <w:szCs w:val="24"/>
          <w:lang w:eastAsia="hr-HR"/>
        </w:rPr>
      </w:pPr>
      <w:bookmarkStart w:id="8" w:name="_Hlk169092672"/>
      <w:r>
        <w:rPr>
          <w:rFonts w:ascii="Times New Roman" w:hAnsi="Times New Roman" w:eastAsia="Times New Roman"/>
          <w:b/>
          <w:sz w:val="24"/>
          <w:szCs w:val="24"/>
          <w:lang w:eastAsia="hr-HR"/>
        </w:rPr>
        <w:t xml:space="preserve">Prihvatljivi troškovi: </w:t>
      </w:r>
    </w:p>
    <w:bookmarkEnd w:id="8"/>
    <w:p w14:paraId="36415304">
      <w:pPr>
        <w:spacing w:after="0" w:line="280" w:lineRule="exact"/>
        <w:ind w:left="708"/>
        <w:jc w:val="both"/>
        <w:rPr>
          <w:rFonts w:ascii="Times New Roman" w:hAnsi="Times New Roman" w:eastAsiaTheme="minorHAnsi"/>
          <w:kern w:val="2"/>
          <w:sz w:val="24"/>
          <w:szCs w:val="24"/>
          <w:lang w:eastAsia="hr-HR"/>
          <w14:ligatures w14:val="standardContextual"/>
        </w:rPr>
      </w:pPr>
      <w:r>
        <w:rPr>
          <w:rFonts w:ascii="Times New Roman" w:hAnsi="Times New Roman" w:eastAsiaTheme="minorHAnsi"/>
          <w:kern w:val="2"/>
          <w:sz w:val="24"/>
          <w:szCs w:val="24"/>
          <w14:ligatures w14:val="standardContextual"/>
        </w:rPr>
        <w:t xml:space="preserve">Gradnja i/ili rekonstrukcija </w:t>
      </w:r>
      <w:r>
        <w:rPr>
          <w:rFonts w:ascii="Times New Roman" w:hAnsi="Times New Roman" w:eastAsia="Times New Roman"/>
          <w:kern w:val="2"/>
          <w:sz w:val="24"/>
          <w:szCs w:val="24"/>
          <w14:ligatures w14:val="standardContextual"/>
        </w:rPr>
        <w:t>hranilišta, pojilišta, solišta, spremišta za hranu, sabirališta i zimovališta za pernatu divljač, ograde, uskočnice, kolibe i dr.</w:t>
      </w:r>
      <w:r>
        <w:rPr>
          <w:rFonts w:ascii="Times New Roman" w:hAnsi="Times New Roman" w:eastAsiaTheme="minorHAnsi"/>
          <w:kern w:val="2"/>
          <w:sz w:val="24"/>
          <w:szCs w:val="24"/>
          <w14:ligatures w14:val="standardContextual"/>
        </w:rPr>
        <w:t xml:space="preserve"> </w:t>
      </w:r>
    </w:p>
    <w:p w14:paraId="031A9F9E">
      <w:pPr>
        <w:spacing w:after="0" w:line="240" w:lineRule="auto"/>
        <w:ind w:firstLine="708"/>
        <w:jc w:val="both"/>
        <w:rPr>
          <w:rFonts w:ascii="Times New Roman" w:hAnsi="Times New Roman" w:eastAsia="Times New Roman"/>
          <w:b/>
          <w:bCs/>
          <w:sz w:val="24"/>
          <w:szCs w:val="24"/>
          <w:lang w:eastAsia="hr-HR"/>
        </w:rPr>
      </w:pPr>
      <w:r>
        <w:rPr>
          <w:rFonts w:ascii="Times New Roman" w:hAnsi="Times New Roman" w:eastAsia="Times New Roman"/>
          <w:b/>
          <w:bCs/>
          <w:sz w:val="24"/>
          <w:szCs w:val="24"/>
          <w:lang w:eastAsia="hr-HR"/>
        </w:rPr>
        <w:t xml:space="preserve">Iznos bespovratne novčane potpore: </w:t>
      </w:r>
    </w:p>
    <w:p w14:paraId="2F6A17BD">
      <w:pPr>
        <w:spacing w:after="0" w:line="240" w:lineRule="auto"/>
        <w:ind w:firstLine="708"/>
        <w:jc w:val="both"/>
        <w:rPr>
          <w:rFonts w:ascii="Times New Roman" w:hAnsi="Times New Roman" w:eastAsia="Times New Roman"/>
          <w:bCs/>
          <w:sz w:val="24"/>
          <w:szCs w:val="24"/>
          <w:lang w:eastAsia="hr-HR"/>
        </w:rPr>
      </w:pPr>
      <w:r>
        <w:rPr>
          <w:rFonts w:ascii="Times New Roman" w:hAnsi="Times New Roman" w:eastAsia="Times New Roman"/>
          <w:bCs/>
          <w:sz w:val="24"/>
          <w:szCs w:val="24"/>
          <w:lang w:eastAsia="hr-HR"/>
        </w:rPr>
        <w:t>Do 75% iznosa prihvatljivih troškova sukladno plaćenim računima</w:t>
      </w:r>
    </w:p>
    <w:p w14:paraId="141D6F01">
      <w:pPr>
        <w:tabs>
          <w:tab w:val="left" w:pos="1111"/>
        </w:tabs>
        <w:spacing w:after="0" w:line="240" w:lineRule="auto"/>
        <w:ind w:firstLine="708"/>
        <w:jc w:val="both"/>
        <w:rPr>
          <w:rFonts w:ascii="Times New Roman" w:hAnsi="Times New Roman" w:eastAsia="Times New Roman"/>
          <w:bCs/>
          <w:sz w:val="16"/>
          <w:szCs w:val="16"/>
          <w:vertAlign w:val="subscript"/>
          <w:lang w:eastAsia="hr-HR"/>
        </w:rPr>
      </w:pPr>
      <w:r>
        <w:rPr>
          <w:rFonts w:ascii="Times New Roman" w:hAnsi="Times New Roman" w:eastAsia="Times New Roman"/>
          <w:bCs/>
          <w:sz w:val="24"/>
          <w:szCs w:val="24"/>
          <w:lang w:eastAsia="hr-HR"/>
        </w:rPr>
        <w:tab/>
      </w:r>
    </w:p>
    <w:p w14:paraId="48382C77">
      <w:pPr>
        <w:spacing w:after="0" w:line="240" w:lineRule="auto"/>
        <w:jc w:val="both"/>
        <w:rPr>
          <w:rFonts w:ascii="Times New Roman" w:hAnsi="Times New Roman" w:eastAsia="Times New Roman"/>
          <w:b/>
          <w:sz w:val="24"/>
          <w:szCs w:val="24"/>
          <w:u w:val="single"/>
          <w:lang w:eastAsia="hr-HR"/>
        </w:rPr>
      </w:pPr>
      <w:r>
        <w:rPr>
          <w:rFonts w:ascii="Times New Roman" w:hAnsi="Times New Roman" w:eastAsia="Times New Roman"/>
          <w:b/>
          <w:sz w:val="24"/>
          <w:szCs w:val="24"/>
          <w:u w:val="single"/>
          <w:lang w:eastAsia="hr-HR"/>
        </w:rPr>
        <w:t>Aktivnost 1.4. Unos krupne  i sitne divljači u lovište</w:t>
      </w:r>
    </w:p>
    <w:p w14:paraId="2E0EA66D">
      <w:pPr>
        <w:spacing w:after="0" w:line="240" w:lineRule="auto"/>
        <w:ind w:firstLine="708"/>
        <w:jc w:val="both"/>
        <w:rPr>
          <w:rFonts w:ascii="Times New Roman" w:hAnsi="Times New Roman" w:eastAsia="Times New Roman"/>
          <w:b/>
          <w:sz w:val="24"/>
          <w:szCs w:val="24"/>
          <w:u w:val="single"/>
          <w:lang w:eastAsia="hr-HR"/>
        </w:rPr>
      </w:pPr>
      <w:r>
        <w:rPr>
          <w:rFonts w:ascii="Times New Roman" w:hAnsi="Times New Roman" w:eastAsia="Times New Roman"/>
          <w:bCs/>
          <w:sz w:val="24"/>
          <w:szCs w:val="24"/>
          <w:lang w:eastAsia="hr-HR"/>
        </w:rPr>
        <w:t xml:space="preserve">1.4.1. Unos jelena običnog </w:t>
      </w:r>
    </w:p>
    <w:p w14:paraId="03136B3C">
      <w:pPr>
        <w:spacing w:after="0" w:line="240" w:lineRule="auto"/>
        <w:ind w:firstLine="708"/>
        <w:jc w:val="both"/>
        <w:rPr>
          <w:rFonts w:ascii="Times New Roman" w:hAnsi="Times New Roman" w:eastAsia="Times New Roman"/>
          <w:bCs/>
          <w:sz w:val="24"/>
          <w:szCs w:val="24"/>
          <w:lang w:eastAsia="hr-HR"/>
        </w:rPr>
      </w:pPr>
      <w:r>
        <w:rPr>
          <w:rFonts w:ascii="Times New Roman" w:hAnsi="Times New Roman" w:eastAsia="Times New Roman"/>
          <w:bCs/>
          <w:sz w:val="24"/>
          <w:szCs w:val="24"/>
          <w:lang w:eastAsia="hr-HR"/>
        </w:rPr>
        <w:t>1.4.2. Unos fazana običnog</w:t>
      </w:r>
    </w:p>
    <w:p w14:paraId="1B0582CA">
      <w:pPr>
        <w:spacing w:after="0" w:line="240" w:lineRule="auto"/>
        <w:ind w:firstLine="708"/>
        <w:jc w:val="both"/>
        <w:rPr>
          <w:rFonts w:ascii="Times New Roman" w:hAnsi="Times New Roman" w:eastAsia="Times New Roman"/>
          <w:bCs/>
          <w:sz w:val="24"/>
          <w:szCs w:val="24"/>
          <w:lang w:eastAsia="hr-HR"/>
        </w:rPr>
      </w:pPr>
      <w:bookmarkStart w:id="9" w:name="_Hlk169770991"/>
      <w:r>
        <w:rPr>
          <w:rFonts w:ascii="Times New Roman" w:hAnsi="Times New Roman" w:eastAsia="Times New Roman"/>
          <w:bCs/>
          <w:sz w:val="24"/>
          <w:szCs w:val="24"/>
          <w:lang w:eastAsia="hr-HR"/>
        </w:rPr>
        <w:t>1.4.3. Unos zeca običnog</w:t>
      </w:r>
    </w:p>
    <w:bookmarkEnd w:id="9"/>
    <w:p w14:paraId="3D773662">
      <w:pPr>
        <w:tabs>
          <w:tab w:val="left" w:pos="1601"/>
        </w:tabs>
        <w:spacing w:after="0" w:line="240" w:lineRule="auto"/>
        <w:jc w:val="both"/>
        <w:rPr>
          <w:rFonts w:ascii="Times New Roman" w:hAnsi="Times New Roman" w:eastAsia="Times New Roman"/>
          <w:b/>
          <w:sz w:val="24"/>
          <w:szCs w:val="24"/>
          <w:lang w:eastAsia="hr-HR"/>
        </w:rPr>
      </w:pPr>
      <w:r>
        <w:rPr>
          <w:rFonts w:ascii="Times New Roman" w:hAnsi="Times New Roman" w:eastAsia="Times New Roman"/>
          <w:b/>
          <w:sz w:val="24"/>
          <w:szCs w:val="24"/>
          <w:lang w:eastAsia="hr-HR"/>
        </w:rPr>
        <w:tab/>
      </w:r>
      <w:r>
        <w:rPr>
          <w:rFonts w:ascii="Times New Roman" w:hAnsi="Times New Roman" w:eastAsia="Times New Roman"/>
          <w:b/>
          <w:sz w:val="24"/>
          <w:szCs w:val="24"/>
          <w:lang w:eastAsia="hr-HR"/>
        </w:rPr>
        <w:t xml:space="preserve"> </w:t>
      </w:r>
    </w:p>
    <w:p w14:paraId="216E2485">
      <w:pPr>
        <w:tabs>
          <w:tab w:val="left" w:pos="6327"/>
        </w:tabs>
        <w:spacing w:after="0" w:line="240" w:lineRule="auto"/>
        <w:jc w:val="both"/>
        <w:rPr>
          <w:rFonts w:ascii="Times New Roman" w:hAnsi="Times New Roman" w:eastAsia="Times New Roman"/>
          <w:b/>
          <w:sz w:val="24"/>
          <w:szCs w:val="24"/>
          <w:u w:val="single"/>
          <w:lang w:eastAsia="hr-HR"/>
        </w:rPr>
      </w:pPr>
      <w:r>
        <w:rPr>
          <w:rFonts w:ascii="Times New Roman" w:hAnsi="Times New Roman" w:eastAsia="Times New Roman"/>
          <w:b/>
          <w:sz w:val="24"/>
          <w:szCs w:val="24"/>
          <w:u w:val="single"/>
          <w:lang w:eastAsia="hr-HR"/>
        </w:rPr>
        <w:t>Aktivnost 1.4.1. Unos jelena običnog</w:t>
      </w:r>
    </w:p>
    <w:p w14:paraId="197BD0C5">
      <w:pPr>
        <w:spacing w:after="0" w:line="240" w:lineRule="auto"/>
        <w:ind w:firstLine="708"/>
        <w:jc w:val="both"/>
        <w:rPr>
          <w:rFonts w:ascii="Times New Roman" w:hAnsi="Times New Roman" w:eastAsia="Times New Roman"/>
          <w:b/>
          <w:sz w:val="24"/>
          <w:szCs w:val="24"/>
          <w:lang w:eastAsia="hr-HR"/>
        </w:rPr>
      </w:pPr>
      <w:r>
        <w:rPr>
          <w:rFonts w:ascii="Times New Roman" w:hAnsi="Times New Roman" w:eastAsia="Times New Roman"/>
          <w:b/>
          <w:sz w:val="24"/>
          <w:szCs w:val="24"/>
          <w:lang w:eastAsia="hr-HR"/>
        </w:rPr>
        <w:t xml:space="preserve">Prihvatljivi troškovi: </w:t>
      </w:r>
    </w:p>
    <w:p w14:paraId="3E04CFDC">
      <w:pPr>
        <w:spacing w:after="0" w:line="240" w:lineRule="auto"/>
        <w:ind w:firstLine="708"/>
        <w:jc w:val="both"/>
        <w:rPr>
          <w:rFonts w:ascii="Times New Roman" w:hAnsi="Times New Roman" w:eastAsia="Times New Roman"/>
          <w:bCs/>
          <w:sz w:val="24"/>
          <w:szCs w:val="24"/>
          <w:lang w:eastAsia="hr-HR"/>
        </w:rPr>
      </w:pPr>
      <w:r>
        <w:rPr>
          <w:rFonts w:ascii="Times New Roman" w:hAnsi="Times New Roman" w:eastAsia="Times New Roman"/>
          <w:bCs/>
          <w:sz w:val="24"/>
          <w:szCs w:val="24"/>
          <w:lang w:eastAsia="hr-HR"/>
        </w:rPr>
        <w:t>Kupnja jelena običnog radi unosa u lovište</w:t>
      </w:r>
    </w:p>
    <w:p w14:paraId="59A710E6">
      <w:pPr>
        <w:spacing w:after="0" w:line="240" w:lineRule="auto"/>
        <w:ind w:firstLine="708"/>
        <w:jc w:val="both"/>
        <w:rPr>
          <w:rFonts w:ascii="Times New Roman" w:hAnsi="Times New Roman" w:eastAsia="Times New Roman"/>
          <w:b/>
          <w:sz w:val="24"/>
          <w:szCs w:val="24"/>
          <w:lang w:eastAsia="hr-HR"/>
        </w:rPr>
      </w:pPr>
      <w:bookmarkStart w:id="10" w:name="_Hlk170124722"/>
      <w:r>
        <w:rPr>
          <w:rFonts w:ascii="Times New Roman" w:hAnsi="Times New Roman" w:eastAsia="Times New Roman"/>
          <w:b/>
          <w:sz w:val="24"/>
          <w:szCs w:val="24"/>
          <w:lang w:eastAsia="hr-HR"/>
        </w:rPr>
        <w:t>Uvjeti za dodjelu bespovratne novčane potpore:</w:t>
      </w:r>
    </w:p>
    <w:p w14:paraId="7940298F">
      <w:pPr>
        <w:spacing w:after="0" w:line="240" w:lineRule="auto"/>
        <w:ind w:firstLine="708"/>
        <w:rPr>
          <w:rFonts w:ascii="Times New Roman" w:hAnsi="Times New Roman" w:eastAsia="Times New Roman"/>
          <w:bCs/>
          <w:sz w:val="24"/>
          <w:szCs w:val="24"/>
          <w:lang w:eastAsia="hr-HR"/>
        </w:rPr>
      </w:pPr>
      <w:r>
        <w:rPr>
          <w:rFonts w:ascii="Times New Roman" w:hAnsi="Times New Roman" w:eastAsia="Times New Roman"/>
          <w:bCs/>
          <w:sz w:val="24"/>
          <w:szCs w:val="24"/>
          <w:lang w:eastAsia="hr-HR"/>
        </w:rPr>
        <w:t>Unesena divljač sukladno propisu lovnogospodarske osnove</w:t>
      </w:r>
    </w:p>
    <w:p w14:paraId="2D874345">
      <w:pPr>
        <w:spacing w:after="0" w:line="240" w:lineRule="auto"/>
        <w:ind w:firstLine="708"/>
        <w:rPr>
          <w:rFonts w:ascii="Times New Roman" w:hAnsi="Times New Roman" w:eastAsia="Times New Roman"/>
          <w:bCs/>
          <w:sz w:val="24"/>
          <w:szCs w:val="24"/>
          <w:lang w:eastAsia="hr-HR"/>
        </w:rPr>
      </w:pPr>
      <w:r>
        <w:rPr>
          <w:rFonts w:ascii="Times New Roman" w:hAnsi="Times New Roman" w:eastAsia="Times New Roman"/>
          <w:bCs/>
          <w:sz w:val="24"/>
          <w:szCs w:val="24"/>
          <w:lang w:eastAsia="hr-HR"/>
        </w:rPr>
        <w:t>Preslika veterinarskog uvjerenja o zdravstvenom stanju unesene divljači</w:t>
      </w:r>
    </w:p>
    <w:bookmarkEnd w:id="10"/>
    <w:p w14:paraId="392C6C55">
      <w:pPr>
        <w:spacing w:after="0" w:line="240" w:lineRule="auto"/>
        <w:rPr>
          <w:rFonts w:ascii="Times New Roman" w:hAnsi="Times New Roman" w:eastAsia="Times New Roman"/>
          <w:bCs/>
          <w:sz w:val="24"/>
          <w:szCs w:val="24"/>
          <w:lang w:eastAsia="hr-HR"/>
        </w:rPr>
      </w:pPr>
      <w:r>
        <w:rPr>
          <w:rFonts w:ascii="Times New Roman" w:hAnsi="Times New Roman" w:eastAsia="Times New Roman"/>
          <w:bCs/>
          <w:sz w:val="24"/>
          <w:szCs w:val="24"/>
          <w:lang w:eastAsia="hr-HR"/>
        </w:rPr>
        <w:t xml:space="preserve">            Zapisnik o ispuštanju divljači u lovište </w:t>
      </w:r>
    </w:p>
    <w:p w14:paraId="7844D08B">
      <w:pPr>
        <w:spacing w:after="0" w:line="240" w:lineRule="auto"/>
        <w:ind w:firstLine="708"/>
        <w:jc w:val="both"/>
        <w:rPr>
          <w:rFonts w:ascii="Times New Roman" w:hAnsi="Times New Roman" w:eastAsia="Times New Roman"/>
          <w:bCs/>
          <w:sz w:val="24"/>
          <w:szCs w:val="24"/>
          <w:lang w:eastAsia="hr-HR"/>
        </w:rPr>
      </w:pPr>
      <w:r>
        <w:rPr>
          <w:rFonts w:ascii="Times New Roman" w:hAnsi="Times New Roman" w:eastAsia="Times New Roman"/>
          <w:b/>
          <w:sz w:val="24"/>
          <w:szCs w:val="24"/>
          <w:lang w:eastAsia="hr-HR"/>
        </w:rPr>
        <w:t xml:space="preserve">Iznos bespovratne novčane potpore: </w:t>
      </w:r>
    </w:p>
    <w:p w14:paraId="03015245">
      <w:pPr>
        <w:spacing w:after="0" w:line="240" w:lineRule="auto"/>
        <w:ind w:firstLine="708"/>
        <w:jc w:val="both"/>
        <w:rPr>
          <w:rFonts w:ascii="Times New Roman" w:hAnsi="Times New Roman" w:eastAsia="Times New Roman"/>
          <w:bCs/>
          <w:sz w:val="24"/>
          <w:szCs w:val="24"/>
          <w:lang w:eastAsia="hr-HR"/>
        </w:rPr>
      </w:pPr>
      <w:r>
        <w:rPr>
          <w:rFonts w:ascii="Times New Roman" w:hAnsi="Times New Roman" w:eastAsia="Times New Roman"/>
          <w:bCs/>
          <w:sz w:val="24"/>
          <w:szCs w:val="24"/>
          <w:lang w:eastAsia="hr-HR"/>
        </w:rPr>
        <w:t>Do 75% iznosa prihvatljivih troškova sukladno plaćenim računima</w:t>
      </w:r>
    </w:p>
    <w:p w14:paraId="64BDD896">
      <w:pPr>
        <w:spacing w:after="0" w:line="240" w:lineRule="auto"/>
        <w:jc w:val="both"/>
        <w:rPr>
          <w:rFonts w:ascii="Times New Roman" w:hAnsi="Times New Roman" w:eastAsia="Times New Roman"/>
          <w:bCs/>
          <w:sz w:val="16"/>
          <w:szCs w:val="16"/>
          <w:vertAlign w:val="subscript"/>
          <w:lang w:eastAsia="hr-HR"/>
        </w:rPr>
      </w:pPr>
    </w:p>
    <w:p w14:paraId="622AE32F">
      <w:pPr>
        <w:spacing w:after="0" w:line="240" w:lineRule="auto"/>
        <w:jc w:val="both"/>
        <w:rPr>
          <w:rFonts w:ascii="Times New Roman" w:hAnsi="Times New Roman" w:eastAsia="Times New Roman"/>
          <w:bCs/>
          <w:sz w:val="24"/>
          <w:szCs w:val="24"/>
          <w:lang w:eastAsia="hr-HR"/>
        </w:rPr>
      </w:pPr>
      <w:r>
        <w:rPr>
          <w:rFonts w:ascii="Times New Roman" w:hAnsi="Times New Roman" w:eastAsia="Times New Roman"/>
          <w:b/>
          <w:sz w:val="24"/>
          <w:szCs w:val="24"/>
          <w:u w:val="single"/>
          <w:lang w:eastAsia="hr-HR"/>
        </w:rPr>
        <w:t>Aktivnost 1.4.2. Unos fazana običnog</w:t>
      </w:r>
    </w:p>
    <w:p w14:paraId="225A7A1D">
      <w:pPr>
        <w:spacing w:after="0" w:line="240" w:lineRule="auto"/>
        <w:ind w:firstLine="708"/>
        <w:jc w:val="both"/>
        <w:rPr>
          <w:rFonts w:ascii="Times New Roman" w:hAnsi="Times New Roman" w:eastAsia="Times New Roman"/>
          <w:b/>
          <w:sz w:val="24"/>
          <w:szCs w:val="24"/>
          <w:lang w:eastAsia="hr-HR"/>
        </w:rPr>
      </w:pPr>
      <w:bookmarkStart w:id="11" w:name="_Hlk170718721"/>
      <w:r>
        <w:rPr>
          <w:rFonts w:ascii="Times New Roman" w:hAnsi="Times New Roman" w:eastAsia="Times New Roman"/>
          <w:b/>
          <w:sz w:val="24"/>
          <w:szCs w:val="24"/>
          <w:lang w:eastAsia="hr-HR"/>
        </w:rPr>
        <w:t xml:space="preserve">Prihvatljivi troškovi: </w:t>
      </w:r>
    </w:p>
    <w:p w14:paraId="040B5D91">
      <w:pPr>
        <w:spacing w:after="0" w:line="240" w:lineRule="auto"/>
        <w:ind w:firstLine="708"/>
        <w:jc w:val="both"/>
        <w:rPr>
          <w:rFonts w:ascii="Times New Roman" w:hAnsi="Times New Roman" w:eastAsia="Times New Roman"/>
          <w:bCs/>
          <w:sz w:val="24"/>
          <w:szCs w:val="24"/>
          <w:lang w:eastAsia="hr-HR"/>
        </w:rPr>
      </w:pPr>
      <w:r>
        <w:rPr>
          <w:rFonts w:ascii="Times New Roman" w:hAnsi="Times New Roman" w:eastAsia="Times New Roman"/>
          <w:bCs/>
          <w:sz w:val="24"/>
          <w:szCs w:val="24"/>
          <w:lang w:eastAsia="hr-HR"/>
        </w:rPr>
        <w:t>Kupnja fazana običnog radi unosa u lovište</w:t>
      </w:r>
    </w:p>
    <w:bookmarkEnd w:id="11"/>
    <w:p w14:paraId="43112B8A">
      <w:pPr>
        <w:spacing w:after="0" w:line="240" w:lineRule="auto"/>
        <w:ind w:firstLine="708"/>
        <w:jc w:val="both"/>
        <w:rPr>
          <w:rFonts w:ascii="Times New Roman" w:hAnsi="Times New Roman" w:eastAsia="Times New Roman"/>
          <w:b/>
          <w:sz w:val="24"/>
          <w:szCs w:val="24"/>
          <w:lang w:eastAsia="hr-HR"/>
        </w:rPr>
      </w:pPr>
      <w:r>
        <w:rPr>
          <w:rFonts w:ascii="Times New Roman" w:hAnsi="Times New Roman" w:eastAsia="Times New Roman"/>
          <w:b/>
          <w:sz w:val="24"/>
          <w:szCs w:val="24"/>
          <w:lang w:eastAsia="hr-HR"/>
        </w:rPr>
        <w:t>Uvjeti za dodjelu bespovratne novčane potpore:</w:t>
      </w:r>
    </w:p>
    <w:p w14:paraId="04C018E4">
      <w:pPr>
        <w:spacing w:after="0" w:line="240" w:lineRule="auto"/>
        <w:ind w:firstLine="708"/>
        <w:jc w:val="both"/>
        <w:rPr>
          <w:rFonts w:ascii="Times New Roman" w:hAnsi="Times New Roman" w:eastAsia="Times New Roman"/>
          <w:bCs/>
          <w:sz w:val="24"/>
          <w:szCs w:val="24"/>
          <w:lang w:eastAsia="hr-HR"/>
        </w:rPr>
      </w:pPr>
      <w:bookmarkStart w:id="12" w:name="_Hlk170202616"/>
      <w:r>
        <w:rPr>
          <w:rFonts w:ascii="Times New Roman" w:hAnsi="Times New Roman" w:eastAsia="Times New Roman"/>
          <w:bCs/>
          <w:sz w:val="24"/>
          <w:szCs w:val="24"/>
          <w:lang w:eastAsia="hr-HR"/>
        </w:rPr>
        <w:t>Unesena divljač sukladno propisu lovnogospodarske osnove</w:t>
      </w:r>
    </w:p>
    <w:p w14:paraId="58878871">
      <w:pPr>
        <w:spacing w:after="0" w:line="240" w:lineRule="auto"/>
        <w:ind w:firstLine="708"/>
        <w:jc w:val="both"/>
        <w:rPr>
          <w:rFonts w:ascii="Times New Roman" w:hAnsi="Times New Roman" w:eastAsia="Times New Roman"/>
          <w:bCs/>
          <w:sz w:val="24"/>
          <w:szCs w:val="24"/>
          <w:lang w:eastAsia="hr-HR"/>
        </w:rPr>
      </w:pPr>
      <w:r>
        <w:rPr>
          <w:rFonts w:ascii="Times New Roman" w:hAnsi="Times New Roman" w:eastAsia="Times New Roman"/>
          <w:bCs/>
          <w:sz w:val="24"/>
          <w:szCs w:val="24"/>
          <w:lang w:eastAsia="hr-HR"/>
        </w:rPr>
        <w:t>Preslika veterinarskog uvjerenja o zdravstvenom stanju unesene divljači</w:t>
      </w:r>
    </w:p>
    <w:p w14:paraId="628A37EE">
      <w:pPr>
        <w:spacing w:after="0" w:line="240" w:lineRule="auto"/>
        <w:jc w:val="both"/>
        <w:rPr>
          <w:rFonts w:ascii="Times New Roman" w:hAnsi="Times New Roman" w:eastAsia="Times New Roman"/>
          <w:bCs/>
          <w:sz w:val="24"/>
          <w:szCs w:val="24"/>
          <w:lang w:eastAsia="hr-HR"/>
        </w:rPr>
      </w:pPr>
      <w:r>
        <w:rPr>
          <w:rFonts w:ascii="Times New Roman" w:hAnsi="Times New Roman" w:eastAsia="Times New Roman"/>
          <w:bCs/>
          <w:sz w:val="24"/>
          <w:szCs w:val="24"/>
          <w:lang w:eastAsia="hr-HR"/>
        </w:rPr>
        <w:t xml:space="preserve">            Zapisnik o ispuštanju divljači u lovište  </w:t>
      </w:r>
    </w:p>
    <w:bookmarkEnd w:id="12"/>
    <w:p w14:paraId="6B90A057">
      <w:pPr>
        <w:spacing w:after="0" w:line="240" w:lineRule="auto"/>
        <w:ind w:firstLine="708"/>
        <w:jc w:val="both"/>
        <w:rPr>
          <w:rFonts w:ascii="Times New Roman" w:hAnsi="Times New Roman" w:eastAsia="Times New Roman"/>
          <w:bCs/>
          <w:sz w:val="24"/>
          <w:szCs w:val="24"/>
          <w:lang w:eastAsia="hr-HR"/>
        </w:rPr>
      </w:pPr>
      <w:r>
        <w:rPr>
          <w:rFonts w:ascii="Times New Roman" w:hAnsi="Times New Roman" w:eastAsia="Times New Roman"/>
          <w:b/>
          <w:sz w:val="24"/>
          <w:szCs w:val="24"/>
          <w:lang w:eastAsia="hr-HR"/>
        </w:rPr>
        <w:t xml:space="preserve">Iznos bespovratne novčane potpore: </w:t>
      </w:r>
    </w:p>
    <w:p w14:paraId="2664259D">
      <w:pPr>
        <w:spacing w:after="0" w:line="240" w:lineRule="auto"/>
        <w:ind w:firstLine="708"/>
        <w:jc w:val="both"/>
        <w:rPr>
          <w:rFonts w:ascii="Times New Roman" w:hAnsi="Times New Roman" w:eastAsia="Times New Roman"/>
          <w:bCs/>
          <w:sz w:val="24"/>
          <w:szCs w:val="24"/>
          <w:lang w:eastAsia="hr-HR"/>
        </w:rPr>
      </w:pPr>
      <w:r>
        <w:rPr>
          <w:rFonts w:ascii="Times New Roman" w:hAnsi="Times New Roman" w:eastAsia="Times New Roman"/>
          <w:bCs/>
          <w:sz w:val="24"/>
          <w:szCs w:val="24"/>
          <w:lang w:eastAsia="hr-HR"/>
        </w:rPr>
        <w:t>Do 75% iznosa prihvatljivih troškova sukladno plaćenim računima</w:t>
      </w:r>
    </w:p>
    <w:p w14:paraId="6B03C330">
      <w:pPr>
        <w:tabs>
          <w:tab w:val="left" w:pos="899"/>
          <w:tab w:val="left" w:pos="1647"/>
        </w:tabs>
        <w:spacing w:after="0" w:line="240" w:lineRule="auto"/>
        <w:jc w:val="both"/>
        <w:rPr>
          <w:rFonts w:ascii="Times New Roman" w:hAnsi="Times New Roman" w:eastAsia="Times New Roman"/>
          <w:bCs/>
          <w:sz w:val="16"/>
          <w:szCs w:val="16"/>
          <w:vertAlign w:val="subscript"/>
          <w:lang w:eastAsia="hr-HR"/>
        </w:rPr>
      </w:pPr>
      <w:r>
        <w:rPr>
          <w:rFonts w:ascii="Times New Roman" w:hAnsi="Times New Roman" w:eastAsia="Times New Roman"/>
          <w:bCs/>
          <w:sz w:val="24"/>
          <w:szCs w:val="24"/>
          <w:lang w:eastAsia="hr-HR"/>
        </w:rPr>
        <w:tab/>
      </w:r>
      <w:r>
        <w:rPr>
          <w:rFonts w:ascii="Times New Roman" w:hAnsi="Times New Roman" w:eastAsia="Times New Roman"/>
          <w:bCs/>
          <w:sz w:val="24"/>
          <w:szCs w:val="24"/>
          <w:lang w:eastAsia="hr-HR"/>
        </w:rPr>
        <w:tab/>
      </w:r>
    </w:p>
    <w:p w14:paraId="0A63E966">
      <w:pPr>
        <w:spacing w:after="0" w:line="240" w:lineRule="auto"/>
        <w:jc w:val="both"/>
        <w:rPr>
          <w:rFonts w:ascii="Times New Roman" w:hAnsi="Times New Roman" w:eastAsia="Times New Roman"/>
          <w:b/>
          <w:sz w:val="24"/>
          <w:szCs w:val="24"/>
          <w:u w:val="single"/>
          <w:lang w:eastAsia="hr-HR"/>
        </w:rPr>
      </w:pPr>
      <w:r>
        <w:rPr>
          <w:rFonts w:ascii="Times New Roman" w:hAnsi="Times New Roman" w:eastAsia="Times New Roman"/>
          <w:b/>
          <w:sz w:val="24"/>
          <w:szCs w:val="24"/>
          <w:u w:val="single"/>
          <w:lang w:eastAsia="hr-HR"/>
        </w:rPr>
        <w:t>Aktivnost 1.4.3. Unos zeca običnog</w:t>
      </w:r>
    </w:p>
    <w:p w14:paraId="35FDA354">
      <w:pPr>
        <w:spacing w:after="0" w:line="240" w:lineRule="auto"/>
        <w:ind w:firstLine="708"/>
        <w:jc w:val="both"/>
        <w:rPr>
          <w:rFonts w:ascii="Times New Roman" w:hAnsi="Times New Roman" w:eastAsia="Times New Roman"/>
          <w:b/>
          <w:sz w:val="24"/>
          <w:szCs w:val="24"/>
          <w:lang w:eastAsia="hr-HR"/>
        </w:rPr>
      </w:pPr>
      <w:r>
        <w:rPr>
          <w:rFonts w:ascii="Times New Roman" w:hAnsi="Times New Roman" w:eastAsia="Times New Roman"/>
          <w:b/>
          <w:sz w:val="24"/>
          <w:szCs w:val="24"/>
          <w:lang w:eastAsia="hr-HR"/>
        </w:rPr>
        <w:t xml:space="preserve">Prihvatljivi troškovi: </w:t>
      </w:r>
    </w:p>
    <w:p w14:paraId="5E6FACF9">
      <w:pPr>
        <w:spacing w:after="0" w:line="240" w:lineRule="auto"/>
        <w:ind w:firstLine="708"/>
        <w:jc w:val="both"/>
        <w:rPr>
          <w:rFonts w:ascii="Times New Roman" w:hAnsi="Times New Roman" w:eastAsia="Times New Roman"/>
          <w:bCs/>
          <w:sz w:val="24"/>
          <w:szCs w:val="24"/>
          <w:lang w:eastAsia="hr-HR"/>
        </w:rPr>
      </w:pPr>
      <w:r>
        <w:rPr>
          <w:rFonts w:ascii="Times New Roman" w:hAnsi="Times New Roman" w:eastAsia="Times New Roman"/>
          <w:bCs/>
          <w:sz w:val="24"/>
          <w:szCs w:val="24"/>
          <w:lang w:eastAsia="hr-HR"/>
        </w:rPr>
        <w:t>Kupnja zeca običnog radi unosa u lovište</w:t>
      </w:r>
    </w:p>
    <w:p w14:paraId="7D4BB607">
      <w:pPr>
        <w:spacing w:after="0" w:line="240" w:lineRule="auto"/>
        <w:ind w:firstLine="708"/>
        <w:jc w:val="both"/>
        <w:rPr>
          <w:rFonts w:ascii="Times New Roman" w:hAnsi="Times New Roman" w:eastAsia="Times New Roman"/>
          <w:b/>
          <w:sz w:val="24"/>
          <w:szCs w:val="24"/>
          <w:lang w:eastAsia="hr-HR"/>
        </w:rPr>
      </w:pPr>
      <w:r>
        <w:rPr>
          <w:rFonts w:ascii="Times New Roman" w:hAnsi="Times New Roman" w:eastAsia="Times New Roman"/>
          <w:b/>
          <w:sz w:val="24"/>
          <w:szCs w:val="24"/>
          <w:lang w:eastAsia="hr-HR"/>
        </w:rPr>
        <w:t>Uvjeti za dodjelu bespovratne novčane potpore:</w:t>
      </w:r>
    </w:p>
    <w:p w14:paraId="5C93281F">
      <w:pPr>
        <w:spacing w:after="0" w:line="240" w:lineRule="auto"/>
        <w:ind w:firstLine="708"/>
        <w:jc w:val="both"/>
        <w:rPr>
          <w:rFonts w:ascii="Times New Roman" w:hAnsi="Times New Roman" w:eastAsia="Times New Roman"/>
          <w:bCs/>
          <w:sz w:val="24"/>
          <w:szCs w:val="24"/>
          <w:lang w:eastAsia="hr-HR"/>
        </w:rPr>
      </w:pPr>
      <w:r>
        <w:rPr>
          <w:rFonts w:ascii="Times New Roman" w:hAnsi="Times New Roman" w:eastAsia="Times New Roman"/>
          <w:bCs/>
          <w:sz w:val="24"/>
          <w:szCs w:val="24"/>
          <w:lang w:eastAsia="hr-HR"/>
        </w:rPr>
        <w:t>Unesena divljač sukladno propisu lovnogospodarske osnove</w:t>
      </w:r>
    </w:p>
    <w:p w14:paraId="14771797">
      <w:pPr>
        <w:spacing w:after="0" w:line="240" w:lineRule="auto"/>
        <w:ind w:firstLine="708"/>
        <w:jc w:val="both"/>
        <w:rPr>
          <w:rFonts w:ascii="Times New Roman" w:hAnsi="Times New Roman" w:eastAsia="Times New Roman"/>
          <w:bCs/>
          <w:sz w:val="24"/>
          <w:szCs w:val="24"/>
          <w:lang w:eastAsia="hr-HR"/>
        </w:rPr>
      </w:pPr>
      <w:r>
        <w:rPr>
          <w:rFonts w:ascii="Times New Roman" w:hAnsi="Times New Roman" w:eastAsia="Times New Roman"/>
          <w:bCs/>
          <w:sz w:val="24"/>
          <w:szCs w:val="24"/>
          <w:lang w:eastAsia="hr-HR"/>
        </w:rPr>
        <w:t>Preslika veterinarskog uvjerenja o zdravstvenom stanju unesene divljači</w:t>
      </w:r>
    </w:p>
    <w:p w14:paraId="37D0A5AB">
      <w:pPr>
        <w:spacing w:after="0" w:line="240" w:lineRule="auto"/>
        <w:jc w:val="both"/>
        <w:rPr>
          <w:rFonts w:ascii="Times New Roman" w:hAnsi="Times New Roman" w:eastAsia="Times New Roman"/>
          <w:bCs/>
          <w:sz w:val="24"/>
          <w:szCs w:val="24"/>
          <w:lang w:eastAsia="hr-HR"/>
        </w:rPr>
      </w:pPr>
      <w:r>
        <w:rPr>
          <w:rFonts w:ascii="Times New Roman" w:hAnsi="Times New Roman" w:eastAsia="Times New Roman"/>
          <w:bCs/>
          <w:sz w:val="24"/>
          <w:szCs w:val="24"/>
          <w:lang w:eastAsia="hr-HR"/>
        </w:rPr>
        <w:t xml:space="preserve">            Zapisnik o ispuštanju divljači u lovište  </w:t>
      </w:r>
    </w:p>
    <w:p w14:paraId="5A70523C">
      <w:pPr>
        <w:spacing w:after="0" w:line="240" w:lineRule="auto"/>
        <w:ind w:firstLine="708"/>
        <w:jc w:val="both"/>
        <w:rPr>
          <w:rFonts w:ascii="Times New Roman" w:hAnsi="Times New Roman" w:eastAsia="Times New Roman"/>
          <w:bCs/>
          <w:sz w:val="24"/>
          <w:szCs w:val="24"/>
          <w:lang w:eastAsia="hr-HR"/>
        </w:rPr>
      </w:pPr>
      <w:r>
        <w:rPr>
          <w:rFonts w:ascii="Times New Roman" w:hAnsi="Times New Roman" w:eastAsia="Times New Roman"/>
          <w:b/>
          <w:sz w:val="24"/>
          <w:szCs w:val="24"/>
          <w:lang w:eastAsia="hr-HR"/>
        </w:rPr>
        <w:t xml:space="preserve">Iznos bespovratne novčane potpore: </w:t>
      </w:r>
    </w:p>
    <w:p w14:paraId="220F9BB8">
      <w:pPr>
        <w:spacing w:after="0" w:line="240" w:lineRule="auto"/>
        <w:ind w:firstLine="708"/>
        <w:jc w:val="both"/>
        <w:rPr>
          <w:rFonts w:ascii="Times New Roman" w:hAnsi="Times New Roman" w:eastAsia="Times New Roman"/>
          <w:bCs/>
          <w:sz w:val="24"/>
          <w:szCs w:val="24"/>
          <w:lang w:eastAsia="hr-HR"/>
        </w:rPr>
      </w:pPr>
      <w:r>
        <w:rPr>
          <w:rFonts w:ascii="Times New Roman" w:hAnsi="Times New Roman" w:eastAsia="Times New Roman"/>
          <w:bCs/>
          <w:sz w:val="24"/>
          <w:szCs w:val="24"/>
          <w:lang w:eastAsia="hr-HR"/>
        </w:rPr>
        <w:t>Do 75% iznosa prihvatljivih troškova sukladno plaćenim računima</w:t>
      </w:r>
    </w:p>
    <w:p w14:paraId="4BD5A61A">
      <w:pPr>
        <w:spacing w:after="0" w:line="240" w:lineRule="auto"/>
        <w:ind w:firstLine="708"/>
        <w:jc w:val="both"/>
        <w:rPr>
          <w:rFonts w:ascii="Times New Roman" w:hAnsi="Times New Roman" w:eastAsiaTheme="minorHAnsi"/>
          <w:sz w:val="24"/>
          <w:szCs w:val="24"/>
        </w:rPr>
      </w:pPr>
      <w:r>
        <w:rPr>
          <w:rFonts w:ascii="Times New Roman" w:hAnsi="Times New Roman" w:eastAsiaTheme="minorHAnsi"/>
          <w:sz w:val="24"/>
          <w:szCs w:val="24"/>
        </w:rPr>
        <w:tab/>
      </w:r>
    </w:p>
    <w:p w14:paraId="5E521F7E">
      <w:pPr>
        <w:spacing w:after="0" w:line="240" w:lineRule="auto"/>
        <w:rPr>
          <w:rFonts w:ascii="Times New Roman" w:hAnsi="Times New Roman" w:eastAsia="Times New Roman"/>
          <w:b/>
          <w:sz w:val="24"/>
          <w:szCs w:val="24"/>
          <w:lang w:eastAsia="hr-HR"/>
        </w:rPr>
      </w:pPr>
      <w:r>
        <w:rPr>
          <w:rFonts w:ascii="Times New Roman" w:hAnsi="Times New Roman" w:eastAsia="Times New Roman"/>
          <w:b/>
          <w:sz w:val="24"/>
          <w:szCs w:val="24"/>
          <w:lang w:eastAsia="hr-HR"/>
        </w:rPr>
        <w:t>Mjera 2. Sprječavanje šteta od divljači i na divljači</w:t>
      </w:r>
    </w:p>
    <w:p w14:paraId="0F8EFBC5">
      <w:pPr>
        <w:spacing w:after="0" w:line="240" w:lineRule="auto"/>
        <w:rPr>
          <w:rFonts w:ascii="Times New Roman" w:hAnsi="Times New Roman" w:eastAsia="Times New Roman"/>
          <w:b/>
          <w:sz w:val="16"/>
          <w:szCs w:val="16"/>
          <w:lang w:eastAsia="hr-HR"/>
        </w:rPr>
      </w:pPr>
      <w:r>
        <w:rPr>
          <w:rFonts w:ascii="Times New Roman" w:hAnsi="Times New Roman" w:eastAsia="Times New Roman"/>
          <w:b/>
          <w:sz w:val="24"/>
          <w:szCs w:val="24"/>
          <w:lang w:eastAsia="hr-HR"/>
        </w:rPr>
        <w:tab/>
      </w:r>
      <w:r>
        <w:rPr>
          <w:rFonts w:ascii="Times New Roman" w:hAnsi="Times New Roman" w:eastAsia="Times New Roman"/>
          <w:b/>
          <w:sz w:val="24"/>
          <w:szCs w:val="24"/>
          <w:lang w:eastAsia="hr-HR"/>
        </w:rPr>
        <w:tab/>
      </w:r>
    </w:p>
    <w:p w14:paraId="7B5D639E">
      <w:pPr>
        <w:spacing w:after="0" w:line="280" w:lineRule="exact"/>
        <w:jc w:val="both"/>
        <w:rPr>
          <w:rFonts w:ascii="Times New Roman" w:hAnsi="Times New Roman" w:eastAsiaTheme="minorHAnsi"/>
          <w:kern w:val="2"/>
          <w:sz w:val="24"/>
          <w:szCs w:val="24"/>
          <w14:ligatures w14:val="standardContextual"/>
        </w:rPr>
      </w:pPr>
      <w:r>
        <w:rPr>
          <w:rFonts w:ascii="Times New Roman" w:hAnsi="Times New Roman" w:eastAsia="Times New Roman"/>
          <w:b/>
          <w:kern w:val="2"/>
          <w:sz w:val="24"/>
          <w:szCs w:val="24"/>
          <w14:ligatures w14:val="standardContextual"/>
        </w:rPr>
        <w:t>Opis mjere:</w:t>
      </w:r>
      <w:r>
        <w:rPr>
          <w:rFonts w:ascii="Times New Roman" w:hAnsi="Times New Roman" w:eastAsiaTheme="minorHAnsi"/>
          <w:kern w:val="2"/>
          <w:sz w:val="24"/>
          <w:szCs w:val="24"/>
          <w14:ligatures w14:val="standardContextual"/>
        </w:rPr>
        <w:t xml:space="preserve"> Zaštita divljači i lovišta jedan je od uvjeta dobrog lovnog gospodarenja. Jedan od nezaobilaznih čimbenika lovnog gospodarenja su štete od divljači. Potrebno je jačati suradnju između svih korisnika prostora kako bi se uz zajedničke napore smanjile štete od divljači bilo kroz upotrebu kemijskih ili mehaničkih barijera.</w:t>
      </w:r>
      <w:bookmarkStart w:id="13" w:name="_Hlk31974351"/>
      <w:bookmarkStart w:id="14" w:name="_Hlk31975409"/>
    </w:p>
    <w:p w14:paraId="2C71EEFC">
      <w:pPr>
        <w:tabs>
          <w:tab w:val="left" w:pos="3000"/>
        </w:tabs>
        <w:spacing w:after="0" w:line="280" w:lineRule="exact"/>
        <w:jc w:val="both"/>
        <w:rPr>
          <w:rFonts w:ascii="Times New Roman" w:hAnsi="Times New Roman" w:eastAsiaTheme="minorHAnsi"/>
          <w:kern w:val="2"/>
          <w:sz w:val="24"/>
          <w:szCs w:val="24"/>
          <w:lang w:eastAsia="hr-HR"/>
          <w14:ligatures w14:val="standardContextual"/>
        </w:rPr>
      </w:pPr>
      <w:r>
        <w:rPr>
          <w:rFonts w:ascii="Times New Roman" w:hAnsi="Times New Roman" w:eastAsiaTheme="minorHAnsi"/>
          <w:kern w:val="2"/>
          <w:sz w:val="24"/>
          <w:szCs w:val="24"/>
          <w:lang w:eastAsia="hr-HR"/>
          <w14:ligatures w14:val="standardContextual"/>
        </w:rPr>
        <w:tab/>
      </w:r>
      <w:bookmarkEnd w:id="13"/>
      <w:bookmarkEnd w:id="14"/>
      <w:bookmarkStart w:id="15" w:name="_Hlk32233940"/>
    </w:p>
    <w:p w14:paraId="0803EBB6">
      <w:pPr>
        <w:spacing w:after="0" w:line="240" w:lineRule="auto"/>
        <w:ind w:firstLine="709"/>
        <w:jc w:val="both"/>
        <w:rPr>
          <w:rFonts w:ascii="Times New Roman" w:hAnsi="Times New Roman"/>
          <w:b/>
          <w:sz w:val="24"/>
          <w:szCs w:val="24"/>
        </w:rPr>
      </w:pPr>
      <w:r>
        <w:rPr>
          <w:rFonts w:ascii="Times New Roman" w:hAnsi="Times New Roman"/>
          <w:b/>
          <w:sz w:val="24"/>
          <w:szCs w:val="24"/>
        </w:rPr>
        <w:t>Prihvatljive aktivnosti:</w:t>
      </w:r>
    </w:p>
    <w:p w14:paraId="01D51B3C">
      <w:pPr>
        <w:spacing w:after="0" w:line="240" w:lineRule="auto"/>
        <w:ind w:firstLine="709"/>
        <w:jc w:val="both"/>
        <w:rPr>
          <w:rFonts w:ascii="Times New Roman" w:hAnsi="Times New Roman" w:eastAsiaTheme="minorHAnsi"/>
          <w:kern w:val="2"/>
          <w:sz w:val="24"/>
          <w:szCs w:val="24"/>
          <w14:ligatures w14:val="standardContextual"/>
        </w:rPr>
      </w:pPr>
      <w:r>
        <w:rPr>
          <w:rFonts w:ascii="Times New Roman" w:hAnsi="Times New Roman" w:eastAsiaTheme="minorHAnsi"/>
          <w:kern w:val="2"/>
          <w:sz w:val="24"/>
          <w:szCs w:val="24"/>
          <w14:ligatures w14:val="standardContextual"/>
        </w:rPr>
        <w:t>2.1. Nabavka kemijskih i mehaničkih repelenata (električni pastiri, plinski topovi)</w:t>
      </w:r>
    </w:p>
    <w:p w14:paraId="03EFDAA6">
      <w:pPr>
        <w:spacing w:after="0" w:line="240" w:lineRule="auto"/>
        <w:ind w:firstLine="709"/>
        <w:jc w:val="both"/>
        <w:rPr>
          <w:rFonts w:ascii="Times New Roman" w:hAnsi="Times New Roman" w:eastAsia="Times New Roman"/>
          <w:b/>
          <w:sz w:val="24"/>
          <w:szCs w:val="24"/>
          <w:lang w:eastAsia="hr-HR"/>
        </w:rPr>
      </w:pPr>
      <w:r>
        <w:rPr>
          <w:rFonts w:ascii="Times New Roman" w:hAnsi="Times New Roman" w:eastAsiaTheme="minorHAnsi"/>
          <w:kern w:val="2"/>
          <w:sz w:val="24"/>
          <w:szCs w:val="24"/>
          <w14:ligatures w14:val="standardContextual"/>
        </w:rPr>
        <w:t>2.2. Zaštita od bolesti</w:t>
      </w:r>
    </w:p>
    <w:p w14:paraId="23F93E15">
      <w:pPr>
        <w:tabs>
          <w:tab w:val="left" w:pos="3000"/>
        </w:tabs>
        <w:spacing w:after="0" w:line="280" w:lineRule="exact"/>
        <w:jc w:val="both"/>
        <w:rPr>
          <w:rFonts w:ascii="Times New Roman" w:hAnsi="Times New Roman" w:eastAsiaTheme="minorHAnsi"/>
          <w:kern w:val="2"/>
          <w:sz w:val="24"/>
          <w:szCs w:val="24"/>
          <w:lang w:eastAsia="hr-HR"/>
          <w14:ligatures w14:val="standardContextual"/>
        </w:rPr>
      </w:pPr>
    </w:p>
    <w:p w14:paraId="0FFE83C2">
      <w:pPr>
        <w:tabs>
          <w:tab w:val="left" w:pos="3000"/>
        </w:tabs>
        <w:spacing w:after="0" w:line="280" w:lineRule="exact"/>
        <w:jc w:val="both"/>
        <w:rPr>
          <w:rFonts w:ascii="Times New Roman" w:hAnsi="Times New Roman" w:eastAsia="Times New Roman"/>
          <w:b/>
          <w:sz w:val="24"/>
          <w:szCs w:val="24"/>
          <w:lang w:eastAsia="hr-HR"/>
        </w:rPr>
      </w:pPr>
      <w:r>
        <w:rPr>
          <w:rFonts w:ascii="Times New Roman" w:hAnsi="Times New Roman" w:eastAsia="Times New Roman"/>
          <w:b/>
          <w:kern w:val="2"/>
          <w:sz w:val="24"/>
          <w:szCs w:val="24"/>
          <w:u w:val="single"/>
          <w14:ligatures w14:val="standardContextual"/>
        </w:rPr>
        <w:t>Aktivnost 2.1.</w:t>
      </w:r>
      <w:r>
        <w:rPr>
          <w:rFonts w:ascii="Times New Roman" w:hAnsi="Times New Roman" w:eastAsiaTheme="minorHAnsi"/>
          <w:kern w:val="2"/>
          <w:sz w:val="24"/>
          <w:szCs w:val="24"/>
          <w:u w:val="single"/>
          <w14:ligatures w14:val="standardContextual"/>
        </w:rPr>
        <w:t xml:space="preserve"> </w:t>
      </w:r>
      <w:r>
        <w:rPr>
          <w:rFonts w:ascii="Times New Roman" w:hAnsi="Times New Roman" w:eastAsiaTheme="minorHAnsi"/>
          <w:b/>
          <w:bCs/>
          <w:kern w:val="2"/>
          <w:sz w:val="24"/>
          <w:szCs w:val="24"/>
          <w:u w:val="single"/>
          <w14:ligatures w14:val="standardContextual"/>
        </w:rPr>
        <w:t>Nabavka kemijskih i mehaničkih repelenata (električni pastiri, plinski topovi)</w:t>
      </w:r>
    </w:p>
    <w:p w14:paraId="321150ED">
      <w:pPr>
        <w:spacing w:after="0" w:line="240" w:lineRule="auto"/>
        <w:ind w:firstLine="708"/>
        <w:jc w:val="both"/>
        <w:rPr>
          <w:rFonts w:ascii="Times New Roman" w:hAnsi="Times New Roman" w:eastAsia="Times New Roman"/>
          <w:b/>
          <w:sz w:val="24"/>
          <w:szCs w:val="24"/>
          <w:lang w:eastAsia="hr-HR"/>
        </w:rPr>
      </w:pPr>
      <w:r>
        <w:rPr>
          <w:rFonts w:ascii="Times New Roman" w:hAnsi="Times New Roman" w:eastAsia="Times New Roman"/>
          <w:b/>
          <w:sz w:val="24"/>
          <w:szCs w:val="24"/>
          <w:lang w:eastAsia="hr-HR"/>
        </w:rPr>
        <w:t xml:space="preserve">Prihvatljivi troškovi: </w:t>
      </w:r>
    </w:p>
    <w:p w14:paraId="5D5A7311">
      <w:pPr>
        <w:spacing w:after="0" w:line="280" w:lineRule="exact"/>
        <w:ind w:left="708"/>
        <w:rPr>
          <w:rFonts w:ascii="Times New Roman" w:hAnsi="Times New Roman" w:eastAsiaTheme="minorHAnsi"/>
          <w:kern w:val="2"/>
          <w:sz w:val="24"/>
          <w:szCs w:val="24"/>
          <w:lang w:eastAsia="hr-HR"/>
          <w14:ligatures w14:val="standardContextual"/>
        </w:rPr>
      </w:pPr>
      <w:r>
        <w:rPr>
          <w:rFonts w:ascii="Times New Roman" w:hAnsi="Times New Roman" w:eastAsia="Times New Roman"/>
          <w:bCs/>
          <w:kern w:val="2"/>
          <w:sz w:val="24"/>
          <w:szCs w:val="24"/>
          <w14:ligatures w14:val="standardContextual"/>
        </w:rPr>
        <w:t xml:space="preserve">Nabava sredstava i opreme za sprečavanje šteta od divljači </w:t>
      </w:r>
      <w:r>
        <w:rPr>
          <w:rFonts w:ascii="Times New Roman" w:hAnsi="Times New Roman" w:eastAsiaTheme="minorHAnsi"/>
          <w:kern w:val="2"/>
          <w:sz w:val="24"/>
          <w:szCs w:val="24"/>
          <w14:ligatures w14:val="standardContextual"/>
        </w:rPr>
        <w:t>- kemijski repelenti, električni pastiri s opremom, plinski topovi</w:t>
      </w:r>
    </w:p>
    <w:p w14:paraId="71FD48FF">
      <w:pPr>
        <w:spacing w:after="0" w:line="240" w:lineRule="auto"/>
        <w:ind w:firstLine="708"/>
        <w:jc w:val="both"/>
        <w:rPr>
          <w:rFonts w:ascii="Times New Roman" w:hAnsi="Times New Roman" w:eastAsia="Times New Roman"/>
          <w:b/>
          <w:bCs/>
          <w:sz w:val="24"/>
          <w:szCs w:val="24"/>
          <w:lang w:eastAsia="hr-HR"/>
        </w:rPr>
      </w:pPr>
      <w:r>
        <w:rPr>
          <w:rFonts w:ascii="Times New Roman" w:hAnsi="Times New Roman" w:eastAsia="Times New Roman"/>
          <w:b/>
          <w:bCs/>
          <w:sz w:val="24"/>
          <w:szCs w:val="24"/>
          <w:lang w:eastAsia="hr-HR"/>
        </w:rPr>
        <w:t xml:space="preserve">Iznos bespovratne novčane potpore: </w:t>
      </w:r>
    </w:p>
    <w:p w14:paraId="1CE663DD">
      <w:pPr>
        <w:spacing w:after="0" w:line="240" w:lineRule="auto"/>
        <w:ind w:firstLine="708"/>
        <w:jc w:val="both"/>
        <w:rPr>
          <w:rFonts w:ascii="Times New Roman" w:hAnsi="Times New Roman" w:eastAsia="Times New Roman"/>
          <w:bCs/>
          <w:sz w:val="24"/>
          <w:szCs w:val="24"/>
          <w:lang w:eastAsia="hr-HR"/>
        </w:rPr>
      </w:pPr>
      <w:r>
        <w:rPr>
          <w:rFonts w:ascii="Times New Roman" w:hAnsi="Times New Roman" w:eastAsia="Times New Roman"/>
          <w:bCs/>
          <w:sz w:val="24"/>
          <w:szCs w:val="24"/>
          <w:lang w:eastAsia="hr-HR"/>
        </w:rPr>
        <w:t>Do 75% iznosa prihvatljivih troškova sukladno plaćenim računima</w:t>
      </w:r>
    </w:p>
    <w:p w14:paraId="4D91C743">
      <w:pPr>
        <w:tabs>
          <w:tab w:val="left" w:pos="2231"/>
        </w:tabs>
        <w:spacing w:after="0" w:line="280" w:lineRule="exact"/>
        <w:ind w:firstLine="708"/>
        <w:rPr>
          <w:rFonts w:ascii="Times New Roman" w:hAnsi="Times New Roman" w:eastAsiaTheme="minorHAnsi"/>
          <w:kern w:val="2"/>
          <w:sz w:val="24"/>
          <w:szCs w:val="24"/>
          <w:lang w:eastAsia="hr-HR"/>
          <w14:ligatures w14:val="standardContextual"/>
        </w:rPr>
      </w:pPr>
      <w:r>
        <w:rPr>
          <w:rFonts w:ascii="Times New Roman" w:hAnsi="Times New Roman" w:eastAsiaTheme="minorHAnsi"/>
          <w:kern w:val="2"/>
          <w:sz w:val="24"/>
          <w:szCs w:val="24"/>
          <w:lang w:eastAsia="hr-HR"/>
          <w14:ligatures w14:val="standardContextual"/>
        </w:rPr>
        <w:tab/>
      </w:r>
    </w:p>
    <w:p w14:paraId="6C963519">
      <w:pPr>
        <w:spacing w:after="0" w:line="280" w:lineRule="exact"/>
        <w:rPr>
          <w:rFonts w:ascii="Times New Roman" w:hAnsi="Times New Roman" w:eastAsiaTheme="minorHAnsi"/>
          <w:b/>
          <w:kern w:val="2"/>
          <w:sz w:val="24"/>
          <w:szCs w:val="24"/>
          <w:u w:val="single"/>
          <w14:ligatures w14:val="standardContextual"/>
        </w:rPr>
      </w:pPr>
      <w:r>
        <w:rPr>
          <w:rFonts w:ascii="Times New Roman" w:hAnsi="Times New Roman" w:eastAsia="Times New Roman"/>
          <w:b/>
          <w:kern w:val="2"/>
          <w:sz w:val="24"/>
          <w:szCs w:val="24"/>
          <w:u w:val="single"/>
          <w14:ligatures w14:val="standardContextual"/>
        </w:rPr>
        <w:t>Aktivnost 2.2.</w:t>
      </w:r>
      <w:r>
        <w:rPr>
          <w:rFonts w:ascii="Times New Roman" w:hAnsi="Times New Roman" w:eastAsiaTheme="minorHAnsi"/>
          <w:b/>
          <w:kern w:val="2"/>
          <w:sz w:val="24"/>
          <w:szCs w:val="24"/>
          <w:u w:val="single"/>
          <w14:ligatures w14:val="standardContextual"/>
        </w:rPr>
        <w:t xml:space="preserve"> Zaštita od bolesti</w:t>
      </w:r>
    </w:p>
    <w:p w14:paraId="597FDF2A">
      <w:pPr>
        <w:spacing w:after="0" w:line="280" w:lineRule="exact"/>
        <w:rPr>
          <w:rFonts w:ascii="Times New Roman" w:hAnsi="Times New Roman" w:eastAsiaTheme="minorHAnsi"/>
          <w:b/>
          <w:kern w:val="2"/>
          <w:sz w:val="24"/>
          <w:szCs w:val="24"/>
          <w:u w:val="single"/>
          <w14:ligatures w14:val="standardContextual"/>
        </w:rPr>
      </w:pPr>
      <w:r>
        <w:rPr>
          <w:rFonts w:ascii="Times New Roman" w:hAnsi="Times New Roman" w:eastAsiaTheme="minorHAnsi"/>
          <w:b/>
          <w:kern w:val="2"/>
          <w:sz w:val="24"/>
          <w:szCs w:val="24"/>
          <w14:ligatures w14:val="standardContextual"/>
        </w:rPr>
        <w:t xml:space="preserve">           </w:t>
      </w:r>
      <w:r>
        <w:rPr>
          <w:rFonts w:ascii="Times New Roman" w:hAnsi="Times New Roman" w:eastAsia="Times New Roman"/>
          <w:b/>
          <w:sz w:val="24"/>
          <w:szCs w:val="24"/>
          <w:lang w:eastAsia="hr-HR"/>
        </w:rPr>
        <w:t xml:space="preserve">Prihvatljivi troškovi: </w:t>
      </w:r>
    </w:p>
    <w:p w14:paraId="19A13B6E">
      <w:pPr>
        <w:spacing w:after="0" w:line="280" w:lineRule="exact"/>
        <w:ind w:left="708"/>
        <w:jc w:val="both"/>
        <w:rPr>
          <w:rFonts w:ascii="Times New Roman" w:hAnsi="Times New Roman" w:eastAsia="Times New Roman"/>
          <w:bCs/>
          <w:kern w:val="2"/>
          <w:sz w:val="24"/>
          <w:szCs w:val="24"/>
          <w:lang w:eastAsia="hr-HR"/>
          <w14:ligatures w14:val="standardContextual"/>
        </w:rPr>
      </w:pPr>
      <w:r>
        <w:rPr>
          <w:rFonts w:ascii="Times New Roman" w:hAnsi="Times New Roman" w:eastAsia="Times New Roman"/>
          <w:bCs/>
          <w:kern w:val="2"/>
          <w:sz w:val="24"/>
          <w:szCs w:val="24"/>
          <w14:ligatures w14:val="standardContextual"/>
        </w:rPr>
        <w:t>Nabava sredstava i opreme za dezinfekciju ljudi, vozila i prostora u cilju sprječavanja Afričke svinjske kuge – prskalice, dezinfekcijske barijere, rukavice, maske</w:t>
      </w:r>
    </w:p>
    <w:p w14:paraId="5971B763">
      <w:pPr>
        <w:spacing w:after="0" w:line="240" w:lineRule="auto"/>
        <w:ind w:firstLine="708"/>
        <w:jc w:val="both"/>
        <w:rPr>
          <w:rFonts w:ascii="Times New Roman" w:hAnsi="Times New Roman" w:eastAsia="Times New Roman"/>
          <w:b/>
          <w:bCs/>
          <w:sz w:val="24"/>
          <w:szCs w:val="24"/>
          <w:lang w:eastAsia="hr-HR"/>
        </w:rPr>
      </w:pPr>
      <w:r>
        <w:rPr>
          <w:rFonts w:ascii="Times New Roman" w:hAnsi="Times New Roman" w:eastAsia="Times New Roman"/>
          <w:b/>
          <w:bCs/>
          <w:sz w:val="24"/>
          <w:szCs w:val="24"/>
          <w:lang w:eastAsia="hr-HR"/>
        </w:rPr>
        <w:t xml:space="preserve">Iznos bespovratne novčane potpore: </w:t>
      </w:r>
    </w:p>
    <w:p w14:paraId="7A95354A">
      <w:pPr>
        <w:spacing w:after="0" w:line="240" w:lineRule="auto"/>
        <w:ind w:firstLine="708"/>
        <w:jc w:val="both"/>
        <w:rPr>
          <w:rFonts w:ascii="Times New Roman" w:hAnsi="Times New Roman" w:eastAsia="Times New Roman"/>
          <w:bCs/>
          <w:sz w:val="24"/>
          <w:szCs w:val="24"/>
          <w:lang w:eastAsia="hr-HR"/>
        </w:rPr>
      </w:pPr>
      <w:r>
        <w:rPr>
          <w:rFonts w:ascii="Times New Roman" w:hAnsi="Times New Roman" w:eastAsia="Times New Roman"/>
          <w:bCs/>
          <w:sz w:val="24"/>
          <w:szCs w:val="24"/>
          <w:lang w:eastAsia="hr-HR"/>
        </w:rPr>
        <w:t>Do 75% iznosa prihvatljivih troškova sukladno plaćenim računima</w:t>
      </w:r>
    </w:p>
    <w:bookmarkEnd w:id="15"/>
    <w:p w14:paraId="492A6067">
      <w:pPr>
        <w:spacing w:after="0" w:line="240" w:lineRule="auto"/>
        <w:jc w:val="both"/>
        <w:rPr>
          <w:rFonts w:ascii="Times New Roman" w:hAnsi="Times New Roman" w:eastAsiaTheme="minorHAnsi"/>
          <w:b/>
          <w:i/>
          <w:sz w:val="24"/>
          <w:szCs w:val="24"/>
        </w:rPr>
      </w:pPr>
    </w:p>
    <w:tbl>
      <w:tblPr>
        <w:tblStyle w:val="13"/>
        <w:tblW w:w="5000" w:type="pct"/>
        <w:tblInd w:w="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autofit"/>
        <w:tblCellMar>
          <w:top w:w="28" w:type="dxa"/>
          <w:left w:w="113" w:type="dxa"/>
          <w:bottom w:w="28" w:type="dxa"/>
          <w:right w:w="0" w:type="dxa"/>
        </w:tblCellMar>
      </w:tblPr>
      <w:tblGrid>
        <w:gridCol w:w="9899"/>
      </w:tblGrid>
      <w:tr w14:paraId="02139DC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28" w:type="dxa"/>
            <w:left w:w="113" w:type="dxa"/>
            <w:bottom w:w="28" w:type="dxa"/>
            <w:right w:w="0" w:type="dxa"/>
          </w:tblCellMar>
        </w:tblPrEx>
        <w:trPr>
          <w:trHeight w:val="308" w:hRule="exact"/>
        </w:trPr>
        <w:tc>
          <w:tcPr>
            <w:tcW w:w="5000" w:type="pct"/>
            <w:tcBorders>
              <w:top w:val="single" w:color="auto" w:sz="4" w:space="0"/>
              <w:left w:val="single" w:color="auto" w:sz="4" w:space="0"/>
              <w:bottom w:val="single" w:color="auto" w:sz="4" w:space="0"/>
              <w:right w:val="single" w:color="auto" w:sz="4" w:space="0"/>
            </w:tcBorders>
            <w:shd w:val="clear" w:color="auto" w:fill="E7E6E6" w:themeFill="background2"/>
            <w:vAlign w:val="center"/>
          </w:tcPr>
          <w:p w14:paraId="79C12775">
            <w:pPr>
              <w:widowControl w:val="0"/>
              <w:suppressLineNumbers/>
              <w:snapToGrid w:val="0"/>
              <w:rPr>
                <w:rFonts w:ascii="Times New Roman" w:hAnsi="Times New Roman"/>
                <w:b/>
                <w:bCs/>
                <w:sz w:val="24"/>
                <w:szCs w:val="24"/>
              </w:rPr>
            </w:pPr>
            <w:r>
              <w:rPr>
                <w:rFonts w:ascii="Times New Roman" w:hAnsi="Times New Roman" w:eastAsia="Times New Roman"/>
                <w:b/>
                <w:sz w:val="24"/>
                <w:szCs w:val="24"/>
                <w:lang w:eastAsia="hr-HR"/>
              </w:rPr>
              <w:t xml:space="preserve"> </w:t>
            </w:r>
            <w:r>
              <w:rPr>
                <w:rFonts w:ascii="Times New Roman" w:hAnsi="Times New Roman"/>
                <w:b/>
                <w:bCs/>
                <w:sz w:val="24"/>
                <w:szCs w:val="24"/>
              </w:rPr>
              <w:t>Kriteriji za dodjelu bespovratnih novčanih potpora</w:t>
            </w:r>
          </w:p>
        </w:tc>
      </w:tr>
    </w:tbl>
    <w:p w14:paraId="4597BE78">
      <w:pPr>
        <w:spacing w:after="0"/>
        <w:jc w:val="both"/>
        <w:rPr>
          <w:rFonts w:ascii="Times New Roman" w:hAnsi="Times New Roman" w:eastAsia="Times New Roman"/>
          <w:sz w:val="24"/>
          <w:szCs w:val="24"/>
        </w:rPr>
      </w:pPr>
    </w:p>
    <w:p w14:paraId="6972D4C4">
      <w:pPr>
        <w:spacing w:after="0"/>
        <w:jc w:val="both"/>
        <w:rPr>
          <w:rFonts w:ascii="Times New Roman" w:hAnsi="Times New Roman" w:eastAsia="Times New Roman"/>
          <w:sz w:val="24"/>
          <w:szCs w:val="24"/>
          <w:lang w:eastAsia="hr-HR"/>
        </w:rPr>
      </w:pPr>
      <w:r>
        <w:rPr>
          <w:rFonts w:ascii="Times New Roman" w:hAnsi="Times New Roman" w:eastAsia="Times New Roman"/>
          <w:sz w:val="24"/>
          <w:szCs w:val="24"/>
          <w:lang w:eastAsia="hr-HR"/>
        </w:rPr>
        <w:t>Prijave zaprimljene po Javnom pozivu bodovat će se sukladno sljedećim kriterijima:</w:t>
      </w:r>
    </w:p>
    <w:p w14:paraId="75594582">
      <w:pPr>
        <w:spacing w:after="0"/>
        <w:jc w:val="both"/>
        <w:rPr>
          <w:rFonts w:ascii="Times New Roman" w:hAnsi="Times New Roman" w:eastAsia="Times New Roman"/>
          <w:sz w:val="24"/>
          <w:szCs w:val="24"/>
          <w:lang w:eastAsia="hr-HR"/>
        </w:rPr>
      </w:pPr>
    </w:p>
    <w:tbl>
      <w:tblPr>
        <w:tblStyle w:val="13"/>
        <w:tblW w:w="0" w:type="auto"/>
        <w:tblInd w:w="-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48"/>
        <w:gridCol w:w="2233"/>
      </w:tblGrid>
      <w:tr w14:paraId="7BEFE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448" w:type="dxa"/>
            <w:tcBorders>
              <w:top w:val="single" w:color="auto" w:sz="4" w:space="0"/>
              <w:left w:val="single" w:color="auto" w:sz="4" w:space="0"/>
              <w:bottom w:val="single" w:color="auto" w:sz="4" w:space="0"/>
              <w:right w:val="single" w:color="auto" w:sz="4" w:space="0"/>
            </w:tcBorders>
          </w:tcPr>
          <w:p w14:paraId="7CCC720D">
            <w:pPr>
              <w:spacing w:after="0" w:line="252" w:lineRule="auto"/>
              <w:ind w:left="42"/>
              <w:jc w:val="both"/>
              <w:rPr>
                <w:rFonts w:ascii="Times New Roman" w:hAnsi="Times New Roman" w:eastAsia="Times New Roman"/>
                <w:b/>
                <w:sz w:val="24"/>
                <w:szCs w:val="24"/>
                <w:lang w:eastAsia="hr-HR"/>
              </w:rPr>
            </w:pPr>
          </w:p>
          <w:p w14:paraId="4A40573B">
            <w:pPr>
              <w:spacing w:after="0" w:line="252" w:lineRule="auto"/>
              <w:ind w:left="42"/>
              <w:jc w:val="center"/>
              <w:rPr>
                <w:rFonts w:ascii="Times New Roman" w:hAnsi="Times New Roman" w:eastAsia="Times New Roman"/>
                <w:b/>
                <w:sz w:val="24"/>
                <w:szCs w:val="24"/>
                <w:lang w:eastAsia="hr-HR"/>
              </w:rPr>
            </w:pPr>
            <w:r>
              <w:rPr>
                <w:rFonts w:ascii="Times New Roman" w:hAnsi="Times New Roman" w:eastAsia="Times New Roman"/>
                <w:b/>
                <w:sz w:val="24"/>
                <w:szCs w:val="24"/>
                <w:lang w:eastAsia="hr-HR"/>
              </w:rPr>
              <w:t xml:space="preserve">NAZIV KRITERIJA </w:t>
            </w:r>
          </w:p>
          <w:p w14:paraId="215F4BAD">
            <w:pPr>
              <w:spacing w:after="0" w:line="252" w:lineRule="auto"/>
              <w:ind w:left="42"/>
              <w:jc w:val="center"/>
              <w:rPr>
                <w:rFonts w:ascii="Times New Roman" w:hAnsi="Times New Roman" w:eastAsia="Times New Roman"/>
                <w:b/>
                <w:sz w:val="24"/>
                <w:szCs w:val="24"/>
                <w:lang w:eastAsia="hr-HR"/>
              </w:rPr>
            </w:pPr>
          </w:p>
        </w:tc>
        <w:tc>
          <w:tcPr>
            <w:tcW w:w="2233" w:type="dxa"/>
            <w:tcBorders>
              <w:top w:val="single" w:color="auto" w:sz="4" w:space="0"/>
              <w:left w:val="single" w:color="auto" w:sz="4" w:space="0"/>
              <w:bottom w:val="single" w:color="auto" w:sz="4" w:space="0"/>
              <w:right w:val="single" w:color="auto" w:sz="4" w:space="0"/>
            </w:tcBorders>
          </w:tcPr>
          <w:p w14:paraId="5FE6EC22">
            <w:pPr>
              <w:spacing w:after="0" w:line="252" w:lineRule="auto"/>
              <w:jc w:val="both"/>
              <w:rPr>
                <w:rFonts w:ascii="Times New Roman" w:hAnsi="Times New Roman" w:eastAsia="Times New Roman"/>
                <w:b/>
                <w:sz w:val="24"/>
                <w:szCs w:val="24"/>
                <w:lang w:eastAsia="hr-HR"/>
              </w:rPr>
            </w:pPr>
          </w:p>
          <w:p w14:paraId="38FDCEB6">
            <w:pPr>
              <w:spacing w:after="0" w:line="252" w:lineRule="auto"/>
              <w:jc w:val="center"/>
              <w:rPr>
                <w:rFonts w:ascii="Times New Roman" w:hAnsi="Times New Roman" w:eastAsia="Times New Roman"/>
                <w:b/>
                <w:sz w:val="24"/>
                <w:szCs w:val="24"/>
                <w:lang w:eastAsia="hr-HR"/>
              </w:rPr>
            </w:pPr>
            <w:r>
              <w:rPr>
                <w:rFonts w:ascii="Times New Roman" w:hAnsi="Times New Roman" w:eastAsia="Times New Roman"/>
                <w:b/>
                <w:sz w:val="24"/>
                <w:szCs w:val="24"/>
                <w:lang w:eastAsia="hr-HR"/>
              </w:rPr>
              <w:t>BODOVI</w:t>
            </w:r>
          </w:p>
        </w:tc>
      </w:tr>
      <w:tr w14:paraId="628C9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7448" w:type="dxa"/>
            <w:tcBorders>
              <w:top w:val="single" w:color="auto" w:sz="4" w:space="0"/>
              <w:left w:val="single" w:color="auto" w:sz="4" w:space="0"/>
              <w:bottom w:val="single" w:color="auto" w:sz="4" w:space="0"/>
              <w:right w:val="single" w:color="auto" w:sz="4" w:space="0"/>
            </w:tcBorders>
          </w:tcPr>
          <w:p w14:paraId="3D8B02E5">
            <w:pPr>
              <w:spacing w:after="0" w:line="252" w:lineRule="auto"/>
              <w:jc w:val="center"/>
              <w:rPr>
                <w:rFonts w:ascii="Times New Roman" w:hAnsi="Times New Roman" w:eastAsia="Times New Roman"/>
                <w:b/>
                <w:iCs/>
                <w:sz w:val="24"/>
                <w:szCs w:val="24"/>
                <w:lang w:eastAsia="hr-HR"/>
              </w:rPr>
            </w:pPr>
          </w:p>
          <w:p w14:paraId="18FAE2A3">
            <w:pPr>
              <w:spacing w:after="0" w:line="252" w:lineRule="auto"/>
              <w:jc w:val="center"/>
              <w:rPr>
                <w:rFonts w:ascii="Times New Roman" w:hAnsi="Times New Roman" w:eastAsia="Times New Roman"/>
                <w:iCs/>
                <w:sz w:val="24"/>
                <w:szCs w:val="24"/>
                <w:lang w:eastAsia="hr-HR"/>
              </w:rPr>
            </w:pPr>
            <w:r>
              <w:rPr>
                <w:rFonts w:ascii="Times New Roman" w:hAnsi="Times New Roman" w:eastAsia="Times New Roman"/>
                <w:b/>
                <w:iCs/>
                <w:sz w:val="24"/>
                <w:szCs w:val="24"/>
                <w:lang w:eastAsia="hr-HR"/>
              </w:rPr>
              <w:t>DOPRINOS RAZVOJU LOVSTVA U SMŽ</w:t>
            </w:r>
          </w:p>
          <w:p w14:paraId="6BD539B7">
            <w:pPr>
              <w:spacing w:after="0" w:line="252" w:lineRule="auto"/>
              <w:ind w:left="42"/>
              <w:jc w:val="center"/>
              <w:rPr>
                <w:rFonts w:ascii="Times New Roman" w:hAnsi="Times New Roman" w:eastAsia="Times New Roman"/>
                <w:b/>
                <w:i/>
                <w:sz w:val="24"/>
                <w:szCs w:val="24"/>
                <w:lang w:eastAsia="hr-HR"/>
              </w:rPr>
            </w:pPr>
            <w:r>
              <w:rPr>
                <w:rFonts w:ascii="Times New Roman" w:hAnsi="Times New Roman" w:eastAsia="Times New Roman"/>
                <w:b/>
                <w:i/>
                <w:sz w:val="24"/>
                <w:szCs w:val="24"/>
                <w:lang w:eastAsia="hr-HR"/>
              </w:rPr>
              <w:t>(ulaganja u lovačke domove, hladnjače i objekte za skladištenje)</w:t>
            </w:r>
          </w:p>
          <w:p w14:paraId="6E140BA7">
            <w:pPr>
              <w:spacing w:after="0" w:line="252" w:lineRule="auto"/>
              <w:ind w:left="42"/>
              <w:jc w:val="center"/>
              <w:rPr>
                <w:rFonts w:ascii="Times New Roman" w:hAnsi="Times New Roman" w:eastAsia="Times New Roman"/>
                <w:b/>
                <w:i/>
                <w:sz w:val="24"/>
                <w:szCs w:val="24"/>
                <w:lang w:eastAsia="hr-HR"/>
              </w:rPr>
            </w:pPr>
          </w:p>
        </w:tc>
        <w:tc>
          <w:tcPr>
            <w:tcW w:w="2233" w:type="dxa"/>
            <w:tcBorders>
              <w:top w:val="single" w:color="auto" w:sz="4" w:space="0"/>
              <w:left w:val="single" w:color="auto" w:sz="4" w:space="0"/>
              <w:bottom w:val="single" w:color="auto" w:sz="4" w:space="0"/>
              <w:right w:val="single" w:color="auto" w:sz="4" w:space="0"/>
            </w:tcBorders>
          </w:tcPr>
          <w:p w14:paraId="120FEE59">
            <w:pPr>
              <w:spacing w:after="0" w:line="252" w:lineRule="auto"/>
              <w:jc w:val="center"/>
              <w:rPr>
                <w:rFonts w:ascii="Times New Roman" w:hAnsi="Times New Roman" w:eastAsia="Times New Roman"/>
                <w:b/>
                <w:sz w:val="24"/>
                <w:szCs w:val="24"/>
                <w:lang w:eastAsia="hr-HR"/>
              </w:rPr>
            </w:pPr>
          </w:p>
          <w:p w14:paraId="0837765F">
            <w:pPr>
              <w:spacing w:after="0" w:line="252" w:lineRule="auto"/>
              <w:jc w:val="center"/>
              <w:rPr>
                <w:rFonts w:ascii="Times New Roman" w:hAnsi="Times New Roman" w:eastAsia="Times New Roman"/>
                <w:b/>
                <w:sz w:val="24"/>
                <w:szCs w:val="24"/>
                <w:lang w:eastAsia="hr-HR"/>
              </w:rPr>
            </w:pPr>
            <w:r>
              <w:rPr>
                <w:rFonts w:ascii="Times New Roman" w:hAnsi="Times New Roman" w:eastAsia="Times New Roman"/>
                <w:b/>
                <w:sz w:val="24"/>
                <w:szCs w:val="24"/>
                <w:lang w:eastAsia="hr-HR"/>
              </w:rPr>
              <w:t>1-12</w:t>
            </w:r>
          </w:p>
          <w:p w14:paraId="52C4CA2A">
            <w:pPr>
              <w:spacing w:after="0" w:line="252" w:lineRule="auto"/>
              <w:jc w:val="both"/>
              <w:rPr>
                <w:rFonts w:ascii="Times New Roman" w:hAnsi="Times New Roman" w:eastAsia="Times New Roman"/>
                <w:sz w:val="24"/>
                <w:szCs w:val="24"/>
                <w:lang w:eastAsia="hr-HR"/>
              </w:rPr>
            </w:pPr>
          </w:p>
        </w:tc>
      </w:tr>
      <w:tr w14:paraId="05F65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448" w:type="dxa"/>
            <w:tcBorders>
              <w:top w:val="single" w:color="auto" w:sz="4" w:space="0"/>
              <w:left w:val="single" w:color="auto" w:sz="4" w:space="0"/>
              <w:bottom w:val="single" w:color="auto" w:sz="4" w:space="0"/>
              <w:right w:val="single" w:color="auto" w:sz="4" w:space="0"/>
            </w:tcBorders>
          </w:tcPr>
          <w:p w14:paraId="4729F918">
            <w:pPr>
              <w:spacing w:after="0" w:line="252" w:lineRule="auto"/>
              <w:jc w:val="both"/>
              <w:rPr>
                <w:rFonts w:ascii="Times New Roman" w:hAnsi="Times New Roman" w:eastAsia="Times New Roman"/>
                <w:i/>
                <w:sz w:val="24"/>
                <w:szCs w:val="24"/>
                <w:lang w:eastAsia="hr-HR"/>
              </w:rPr>
            </w:pPr>
            <w:r>
              <w:rPr>
                <w:rFonts w:ascii="Times New Roman" w:hAnsi="Times New Roman" w:eastAsia="Times New Roman"/>
                <w:b/>
                <w:sz w:val="24"/>
                <w:szCs w:val="24"/>
                <w:lang w:eastAsia="hr-HR"/>
              </w:rPr>
              <w:t>Vrlo veliki</w:t>
            </w:r>
            <w:r>
              <w:rPr>
                <w:rFonts w:ascii="Times New Roman" w:hAnsi="Times New Roman" w:eastAsia="Times New Roman"/>
                <w:sz w:val="24"/>
                <w:szCs w:val="24"/>
                <w:lang w:eastAsia="hr-HR"/>
              </w:rPr>
              <w:t xml:space="preserve"> </w:t>
            </w:r>
            <w:r>
              <w:rPr>
                <w:rFonts w:ascii="Times New Roman" w:hAnsi="Times New Roman" w:eastAsia="Times New Roman"/>
                <w:i/>
                <w:sz w:val="24"/>
                <w:szCs w:val="24"/>
                <w:lang w:eastAsia="hr-HR"/>
              </w:rPr>
              <w:t>(gradnja, rekonstrukcija i opremanje hladnjača za prihvat mesa divljači i objekata za obradu i skladištenje odstrijeljene divljači)</w:t>
            </w:r>
          </w:p>
        </w:tc>
        <w:tc>
          <w:tcPr>
            <w:tcW w:w="2233" w:type="dxa"/>
            <w:tcBorders>
              <w:top w:val="single" w:color="auto" w:sz="4" w:space="0"/>
              <w:left w:val="single" w:color="auto" w:sz="4" w:space="0"/>
              <w:bottom w:val="single" w:color="auto" w:sz="4" w:space="0"/>
              <w:right w:val="single" w:color="auto" w:sz="4" w:space="0"/>
            </w:tcBorders>
          </w:tcPr>
          <w:p w14:paraId="3045EF34">
            <w:pPr>
              <w:spacing w:after="0" w:line="252" w:lineRule="auto"/>
              <w:ind w:left="42"/>
              <w:jc w:val="center"/>
              <w:rPr>
                <w:rFonts w:ascii="Times New Roman" w:hAnsi="Times New Roman" w:eastAsia="Times New Roman"/>
                <w:sz w:val="24"/>
                <w:szCs w:val="24"/>
                <w:lang w:eastAsia="hr-HR"/>
              </w:rPr>
            </w:pPr>
            <w:r>
              <w:rPr>
                <w:rFonts w:ascii="Times New Roman" w:hAnsi="Times New Roman" w:eastAsia="Times New Roman"/>
                <w:sz w:val="24"/>
                <w:szCs w:val="24"/>
                <w:lang w:eastAsia="hr-HR"/>
              </w:rPr>
              <w:t>10-12</w:t>
            </w:r>
          </w:p>
        </w:tc>
      </w:tr>
      <w:tr w14:paraId="6F06B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7448" w:type="dxa"/>
            <w:tcBorders>
              <w:top w:val="single" w:color="auto" w:sz="4" w:space="0"/>
              <w:left w:val="single" w:color="auto" w:sz="4" w:space="0"/>
              <w:bottom w:val="single" w:color="auto" w:sz="4" w:space="0"/>
              <w:right w:val="single" w:color="auto" w:sz="4" w:space="0"/>
            </w:tcBorders>
          </w:tcPr>
          <w:p w14:paraId="576B1FFF">
            <w:pPr>
              <w:spacing w:after="0" w:line="252" w:lineRule="auto"/>
              <w:jc w:val="both"/>
              <w:rPr>
                <w:rFonts w:ascii="Times New Roman" w:hAnsi="Times New Roman" w:eastAsia="Times New Roman"/>
                <w:sz w:val="24"/>
                <w:szCs w:val="24"/>
                <w:lang w:eastAsia="hr-HR"/>
              </w:rPr>
            </w:pPr>
            <w:r>
              <w:rPr>
                <w:rFonts w:ascii="Times New Roman" w:hAnsi="Times New Roman" w:eastAsia="Times New Roman"/>
                <w:b/>
                <w:sz w:val="24"/>
                <w:szCs w:val="24"/>
                <w:lang w:eastAsia="hr-HR"/>
              </w:rPr>
              <w:t xml:space="preserve">Veliki </w:t>
            </w:r>
            <w:r>
              <w:rPr>
                <w:rFonts w:ascii="Times New Roman" w:hAnsi="Times New Roman" w:eastAsia="Times New Roman"/>
                <w:i/>
                <w:sz w:val="24"/>
                <w:szCs w:val="24"/>
                <w:lang w:eastAsia="hr-HR"/>
              </w:rPr>
              <w:t>(ulaganje u lovačke domove)</w:t>
            </w:r>
          </w:p>
        </w:tc>
        <w:tc>
          <w:tcPr>
            <w:tcW w:w="2233" w:type="dxa"/>
            <w:tcBorders>
              <w:top w:val="single" w:color="auto" w:sz="4" w:space="0"/>
              <w:left w:val="single" w:color="auto" w:sz="4" w:space="0"/>
              <w:bottom w:val="single" w:color="auto" w:sz="4" w:space="0"/>
              <w:right w:val="single" w:color="auto" w:sz="4" w:space="0"/>
            </w:tcBorders>
          </w:tcPr>
          <w:p w14:paraId="43B76E13">
            <w:pPr>
              <w:spacing w:after="0" w:line="252" w:lineRule="auto"/>
              <w:ind w:left="42"/>
              <w:jc w:val="center"/>
              <w:rPr>
                <w:rFonts w:ascii="Times New Roman" w:hAnsi="Times New Roman" w:eastAsia="Times New Roman"/>
                <w:sz w:val="24"/>
                <w:szCs w:val="24"/>
                <w:lang w:eastAsia="hr-HR"/>
              </w:rPr>
            </w:pPr>
            <w:r>
              <w:rPr>
                <w:rFonts w:ascii="Times New Roman" w:hAnsi="Times New Roman" w:eastAsia="Times New Roman"/>
                <w:sz w:val="24"/>
                <w:szCs w:val="24"/>
                <w:lang w:eastAsia="hr-HR"/>
              </w:rPr>
              <w:t>7-9</w:t>
            </w:r>
          </w:p>
        </w:tc>
      </w:tr>
      <w:tr w14:paraId="78E03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7448" w:type="dxa"/>
            <w:tcBorders>
              <w:top w:val="single" w:color="auto" w:sz="4" w:space="0"/>
              <w:left w:val="single" w:color="auto" w:sz="4" w:space="0"/>
              <w:bottom w:val="single" w:color="auto" w:sz="4" w:space="0"/>
              <w:right w:val="single" w:color="auto" w:sz="4" w:space="0"/>
            </w:tcBorders>
          </w:tcPr>
          <w:p w14:paraId="6F1100D9">
            <w:pPr>
              <w:spacing w:after="0" w:line="252" w:lineRule="auto"/>
              <w:jc w:val="both"/>
              <w:rPr>
                <w:rFonts w:ascii="Times New Roman" w:hAnsi="Times New Roman" w:eastAsia="Times New Roman"/>
                <w:i/>
                <w:sz w:val="24"/>
                <w:szCs w:val="24"/>
                <w:lang w:eastAsia="hr-HR"/>
              </w:rPr>
            </w:pPr>
            <w:r>
              <w:rPr>
                <w:rFonts w:ascii="Times New Roman" w:hAnsi="Times New Roman" w:eastAsia="Times New Roman"/>
                <w:b/>
                <w:sz w:val="24"/>
                <w:szCs w:val="24"/>
                <w:lang w:eastAsia="hr-HR"/>
              </w:rPr>
              <w:t xml:space="preserve">Srednji </w:t>
            </w:r>
            <w:r>
              <w:rPr>
                <w:rFonts w:ascii="Times New Roman" w:hAnsi="Times New Roman" w:eastAsia="Times New Roman"/>
                <w:i/>
                <w:sz w:val="24"/>
                <w:szCs w:val="24"/>
                <w:lang w:eastAsia="hr-HR"/>
              </w:rPr>
              <w:t>(unaprjeđenje lovnotehničkih i lovnogospodarskih objekata i ulaganje u pomoćne objekte (pomoćne zgrade, nadstrešnice i dr.), unos krupne divljači)</w:t>
            </w:r>
          </w:p>
        </w:tc>
        <w:tc>
          <w:tcPr>
            <w:tcW w:w="2233" w:type="dxa"/>
            <w:tcBorders>
              <w:top w:val="single" w:color="auto" w:sz="4" w:space="0"/>
              <w:left w:val="single" w:color="auto" w:sz="4" w:space="0"/>
              <w:bottom w:val="single" w:color="auto" w:sz="4" w:space="0"/>
              <w:right w:val="single" w:color="auto" w:sz="4" w:space="0"/>
            </w:tcBorders>
          </w:tcPr>
          <w:p w14:paraId="7A5A64F6">
            <w:pPr>
              <w:spacing w:after="0" w:line="252" w:lineRule="auto"/>
              <w:ind w:left="42"/>
              <w:jc w:val="center"/>
              <w:rPr>
                <w:rFonts w:ascii="Times New Roman" w:hAnsi="Times New Roman" w:eastAsia="Times New Roman"/>
                <w:sz w:val="24"/>
                <w:szCs w:val="24"/>
                <w:lang w:eastAsia="hr-HR"/>
              </w:rPr>
            </w:pPr>
            <w:r>
              <w:rPr>
                <w:rFonts w:ascii="Times New Roman" w:hAnsi="Times New Roman" w:eastAsia="Times New Roman"/>
                <w:sz w:val="24"/>
                <w:szCs w:val="24"/>
                <w:lang w:eastAsia="hr-HR"/>
              </w:rPr>
              <w:t>4-6</w:t>
            </w:r>
          </w:p>
        </w:tc>
      </w:tr>
      <w:tr w14:paraId="3F356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48" w:type="dxa"/>
            <w:tcBorders>
              <w:top w:val="single" w:color="auto" w:sz="4" w:space="0"/>
              <w:left w:val="single" w:color="auto" w:sz="4" w:space="0"/>
              <w:bottom w:val="single" w:color="auto" w:sz="4" w:space="0"/>
              <w:right w:val="single" w:color="auto" w:sz="4" w:space="0"/>
            </w:tcBorders>
          </w:tcPr>
          <w:p w14:paraId="4C1F7CAE">
            <w:pPr>
              <w:spacing w:after="0" w:line="252" w:lineRule="auto"/>
              <w:jc w:val="both"/>
              <w:rPr>
                <w:rFonts w:ascii="Times New Roman" w:hAnsi="Times New Roman" w:eastAsia="Times New Roman"/>
                <w:i/>
                <w:sz w:val="24"/>
                <w:szCs w:val="24"/>
                <w:lang w:eastAsia="hr-HR"/>
              </w:rPr>
            </w:pPr>
            <w:r>
              <w:rPr>
                <w:rFonts w:ascii="Times New Roman" w:hAnsi="Times New Roman" w:eastAsia="Times New Roman"/>
                <w:b/>
                <w:sz w:val="24"/>
                <w:szCs w:val="24"/>
                <w:lang w:eastAsia="hr-HR"/>
              </w:rPr>
              <w:t xml:space="preserve">Manji </w:t>
            </w:r>
            <w:r>
              <w:rPr>
                <w:rFonts w:ascii="Times New Roman" w:hAnsi="Times New Roman" w:eastAsia="Times New Roman"/>
                <w:i/>
                <w:sz w:val="24"/>
                <w:szCs w:val="24"/>
                <w:lang w:eastAsia="hr-HR"/>
              </w:rPr>
              <w:t>(nabavka kemijskih i mehaničkih repelenata, zaštitna sredstva od bolesti, unos sitne divljači)</w:t>
            </w:r>
          </w:p>
          <w:p w14:paraId="6EFF0FD3">
            <w:pPr>
              <w:spacing w:after="0" w:line="252" w:lineRule="auto"/>
              <w:jc w:val="both"/>
              <w:rPr>
                <w:rFonts w:ascii="Times New Roman" w:hAnsi="Times New Roman" w:eastAsia="Times New Roman"/>
                <w:sz w:val="24"/>
                <w:szCs w:val="24"/>
                <w:lang w:eastAsia="hr-HR"/>
              </w:rPr>
            </w:pPr>
          </w:p>
        </w:tc>
        <w:tc>
          <w:tcPr>
            <w:tcW w:w="2233" w:type="dxa"/>
            <w:tcBorders>
              <w:top w:val="single" w:color="auto" w:sz="4" w:space="0"/>
              <w:left w:val="single" w:color="auto" w:sz="4" w:space="0"/>
              <w:bottom w:val="single" w:color="auto" w:sz="4" w:space="0"/>
              <w:right w:val="single" w:color="auto" w:sz="4" w:space="0"/>
            </w:tcBorders>
          </w:tcPr>
          <w:p w14:paraId="4A0F1214">
            <w:pPr>
              <w:spacing w:after="0" w:line="252" w:lineRule="auto"/>
              <w:ind w:left="42"/>
              <w:jc w:val="center"/>
              <w:rPr>
                <w:rFonts w:ascii="Times New Roman" w:hAnsi="Times New Roman" w:eastAsia="Times New Roman"/>
                <w:sz w:val="24"/>
                <w:szCs w:val="24"/>
                <w:lang w:eastAsia="hr-HR"/>
              </w:rPr>
            </w:pPr>
            <w:r>
              <w:rPr>
                <w:rFonts w:ascii="Times New Roman" w:hAnsi="Times New Roman" w:eastAsia="Times New Roman"/>
                <w:sz w:val="24"/>
                <w:szCs w:val="24"/>
                <w:lang w:eastAsia="hr-HR"/>
              </w:rPr>
              <w:t>1-3</w:t>
            </w:r>
          </w:p>
        </w:tc>
      </w:tr>
      <w:tr w14:paraId="74B06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448" w:type="dxa"/>
            <w:tcBorders>
              <w:top w:val="single" w:color="auto" w:sz="4" w:space="0"/>
              <w:left w:val="single" w:color="auto" w:sz="4" w:space="0"/>
              <w:bottom w:val="single" w:color="auto" w:sz="4" w:space="0"/>
              <w:right w:val="single" w:color="auto" w:sz="4" w:space="0"/>
            </w:tcBorders>
          </w:tcPr>
          <w:p w14:paraId="00163E3E">
            <w:pPr>
              <w:spacing w:after="0" w:line="240" w:lineRule="auto"/>
              <w:ind w:left="42"/>
              <w:jc w:val="center"/>
              <w:rPr>
                <w:rFonts w:ascii="Times New Roman" w:hAnsi="Times New Roman" w:eastAsia="Times New Roman"/>
                <w:b/>
                <w:iCs/>
                <w:sz w:val="24"/>
                <w:szCs w:val="24"/>
                <w:lang w:eastAsia="hr-HR"/>
              </w:rPr>
            </w:pPr>
          </w:p>
          <w:p w14:paraId="705E7144">
            <w:pPr>
              <w:spacing w:after="0" w:line="240" w:lineRule="auto"/>
              <w:ind w:left="42"/>
              <w:jc w:val="center"/>
              <w:rPr>
                <w:rFonts w:ascii="Times New Roman" w:hAnsi="Times New Roman" w:eastAsia="Times New Roman"/>
                <w:b/>
                <w:iCs/>
                <w:sz w:val="24"/>
                <w:szCs w:val="24"/>
                <w:lang w:eastAsia="hr-HR"/>
              </w:rPr>
            </w:pPr>
            <w:r>
              <w:rPr>
                <w:rFonts w:ascii="Times New Roman" w:hAnsi="Times New Roman" w:eastAsia="Times New Roman"/>
                <w:b/>
                <w:iCs/>
                <w:sz w:val="24"/>
                <w:szCs w:val="24"/>
                <w:lang w:eastAsia="hr-HR"/>
              </w:rPr>
              <w:t>SUFINANCIRANJE ULAGANJA</w:t>
            </w:r>
          </w:p>
        </w:tc>
        <w:tc>
          <w:tcPr>
            <w:tcW w:w="2233" w:type="dxa"/>
            <w:tcBorders>
              <w:top w:val="single" w:color="auto" w:sz="4" w:space="0"/>
              <w:left w:val="single" w:color="auto" w:sz="4" w:space="0"/>
              <w:bottom w:val="single" w:color="auto" w:sz="4" w:space="0"/>
              <w:right w:val="single" w:color="auto" w:sz="4" w:space="0"/>
            </w:tcBorders>
          </w:tcPr>
          <w:p w14:paraId="722C2601">
            <w:pPr>
              <w:spacing w:after="0" w:line="252" w:lineRule="auto"/>
              <w:ind w:left="42"/>
              <w:jc w:val="center"/>
              <w:rPr>
                <w:rFonts w:ascii="Times New Roman" w:hAnsi="Times New Roman" w:eastAsia="Times New Roman"/>
                <w:b/>
                <w:sz w:val="24"/>
                <w:szCs w:val="24"/>
                <w:lang w:eastAsia="hr-HR"/>
              </w:rPr>
            </w:pPr>
          </w:p>
          <w:p w14:paraId="22BAD5FF">
            <w:pPr>
              <w:spacing w:after="0" w:line="252" w:lineRule="auto"/>
              <w:ind w:left="42"/>
              <w:jc w:val="center"/>
              <w:rPr>
                <w:rFonts w:ascii="Times New Roman" w:hAnsi="Times New Roman" w:eastAsia="Times New Roman"/>
                <w:b/>
                <w:sz w:val="24"/>
                <w:szCs w:val="24"/>
                <w:lang w:eastAsia="hr-HR"/>
              </w:rPr>
            </w:pPr>
            <w:r>
              <w:rPr>
                <w:rFonts w:ascii="Times New Roman" w:hAnsi="Times New Roman" w:eastAsia="Times New Roman"/>
                <w:b/>
                <w:sz w:val="24"/>
                <w:szCs w:val="24"/>
                <w:lang w:eastAsia="hr-HR"/>
              </w:rPr>
              <w:t>1-6</w:t>
            </w:r>
          </w:p>
        </w:tc>
      </w:tr>
      <w:tr w14:paraId="18F72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48" w:type="dxa"/>
            <w:tcBorders>
              <w:top w:val="single" w:color="auto" w:sz="4" w:space="0"/>
              <w:left w:val="single" w:color="auto" w:sz="4" w:space="0"/>
              <w:bottom w:val="single" w:color="auto" w:sz="4" w:space="0"/>
              <w:right w:val="single" w:color="auto" w:sz="4" w:space="0"/>
            </w:tcBorders>
          </w:tcPr>
          <w:p w14:paraId="2E26BC34">
            <w:pPr>
              <w:spacing w:after="0" w:line="252" w:lineRule="auto"/>
              <w:ind w:left="42"/>
              <w:jc w:val="both"/>
              <w:rPr>
                <w:rFonts w:ascii="Times New Roman" w:hAnsi="Times New Roman" w:eastAsia="Times New Roman"/>
                <w:sz w:val="24"/>
                <w:szCs w:val="24"/>
                <w:lang w:eastAsia="hr-HR"/>
              </w:rPr>
            </w:pPr>
            <w:r>
              <w:rPr>
                <w:rFonts w:ascii="Times New Roman" w:hAnsi="Times New Roman" w:eastAsia="Times New Roman"/>
                <w:sz w:val="24"/>
                <w:szCs w:val="24"/>
                <w:lang w:eastAsia="hr-HR"/>
              </w:rPr>
              <w:t>- udio vlastitih sredstava iznad 50%</w:t>
            </w:r>
          </w:p>
        </w:tc>
        <w:tc>
          <w:tcPr>
            <w:tcW w:w="2233" w:type="dxa"/>
            <w:tcBorders>
              <w:top w:val="single" w:color="auto" w:sz="4" w:space="0"/>
              <w:left w:val="single" w:color="auto" w:sz="4" w:space="0"/>
              <w:bottom w:val="single" w:color="auto" w:sz="4" w:space="0"/>
              <w:right w:val="single" w:color="auto" w:sz="4" w:space="0"/>
            </w:tcBorders>
          </w:tcPr>
          <w:p w14:paraId="1F0EE1BF">
            <w:pPr>
              <w:spacing w:after="0" w:line="252" w:lineRule="auto"/>
              <w:ind w:left="42"/>
              <w:jc w:val="center"/>
              <w:rPr>
                <w:rFonts w:ascii="Times New Roman" w:hAnsi="Times New Roman" w:eastAsia="Times New Roman"/>
                <w:sz w:val="24"/>
                <w:szCs w:val="24"/>
                <w:lang w:eastAsia="hr-HR"/>
              </w:rPr>
            </w:pPr>
            <w:r>
              <w:rPr>
                <w:rFonts w:ascii="Times New Roman" w:hAnsi="Times New Roman" w:eastAsia="Times New Roman"/>
                <w:sz w:val="24"/>
                <w:szCs w:val="24"/>
                <w:lang w:eastAsia="hr-HR"/>
              </w:rPr>
              <w:t>6</w:t>
            </w:r>
          </w:p>
        </w:tc>
      </w:tr>
      <w:tr w14:paraId="4D99D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7448" w:type="dxa"/>
            <w:tcBorders>
              <w:top w:val="single" w:color="auto" w:sz="4" w:space="0"/>
              <w:left w:val="single" w:color="auto" w:sz="4" w:space="0"/>
              <w:bottom w:val="single" w:color="auto" w:sz="4" w:space="0"/>
              <w:right w:val="single" w:color="auto" w:sz="4" w:space="0"/>
            </w:tcBorders>
          </w:tcPr>
          <w:p w14:paraId="5BCBE490">
            <w:pPr>
              <w:spacing w:after="0" w:line="252" w:lineRule="auto"/>
              <w:ind w:left="42"/>
              <w:jc w:val="both"/>
              <w:rPr>
                <w:rFonts w:ascii="Times New Roman" w:hAnsi="Times New Roman" w:eastAsia="Times New Roman"/>
                <w:sz w:val="24"/>
                <w:szCs w:val="24"/>
                <w:lang w:eastAsia="hr-HR"/>
              </w:rPr>
            </w:pPr>
            <w:r>
              <w:rPr>
                <w:rFonts w:ascii="Times New Roman" w:hAnsi="Times New Roman" w:eastAsia="Times New Roman"/>
                <w:sz w:val="24"/>
                <w:szCs w:val="24"/>
                <w:lang w:eastAsia="hr-HR"/>
              </w:rPr>
              <w:t>- udio vlastitih sredstava od 31-50%</w:t>
            </w:r>
          </w:p>
        </w:tc>
        <w:tc>
          <w:tcPr>
            <w:tcW w:w="2233" w:type="dxa"/>
            <w:tcBorders>
              <w:top w:val="single" w:color="auto" w:sz="4" w:space="0"/>
              <w:left w:val="single" w:color="auto" w:sz="4" w:space="0"/>
              <w:bottom w:val="single" w:color="auto" w:sz="4" w:space="0"/>
              <w:right w:val="single" w:color="auto" w:sz="4" w:space="0"/>
            </w:tcBorders>
          </w:tcPr>
          <w:p w14:paraId="380C5EB3">
            <w:pPr>
              <w:spacing w:after="0" w:line="252" w:lineRule="auto"/>
              <w:ind w:left="42"/>
              <w:jc w:val="center"/>
              <w:rPr>
                <w:rFonts w:ascii="Times New Roman" w:hAnsi="Times New Roman" w:eastAsia="Times New Roman"/>
                <w:sz w:val="24"/>
                <w:szCs w:val="24"/>
                <w:lang w:eastAsia="hr-HR"/>
              </w:rPr>
            </w:pPr>
            <w:r>
              <w:rPr>
                <w:rFonts w:ascii="Times New Roman" w:hAnsi="Times New Roman" w:eastAsia="Times New Roman"/>
                <w:sz w:val="24"/>
                <w:szCs w:val="24"/>
                <w:lang w:eastAsia="hr-HR"/>
              </w:rPr>
              <w:t>4</w:t>
            </w:r>
          </w:p>
        </w:tc>
      </w:tr>
      <w:tr w14:paraId="2EB48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7448" w:type="dxa"/>
            <w:tcBorders>
              <w:top w:val="single" w:color="auto" w:sz="4" w:space="0"/>
              <w:left w:val="single" w:color="auto" w:sz="4" w:space="0"/>
              <w:bottom w:val="single" w:color="auto" w:sz="4" w:space="0"/>
              <w:right w:val="single" w:color="auto" w:sz="4" w:space="0"/>
            </w:tcBorders>
          </w:tcPr>
          <w:p w14:paraId="212FE0D7">
            <w:pPr>
              <w:spacing w:after="0" w:line="252" w:lineRule="auto"/>
              <w:ind w:left="42"/>
              <w:jc w:val="both"/>
              <w:rPr>
                <w:rFonts w:ascii="Times New Roman" w:hAnsi="Times New Roman" w:eastAsia="Times New Roman"/>
                <w:sz w:val="24"/>
                <w:szCs w:val="24"/>
                <w:lang w:eastAsia="hr-HR"/>
              </w:rPr>
            </w:pPr>
            <w:r>
              <w:rPr>
                <w:rFonts w:ascii="Times New Roman" w:hAnsi="Times New Roman" w:eastAsia="Times New Roman"/>
                <w:sz w:val="24"/>
                <w:szCs w:val="24"/>
                <w:lang w:eastAsia="hr-HR"/>
              </w:rPr>
              <w:t>- udio vlastitih sredstava od 10-30%</w:t>
            </w:r>
          </w:p>
        </w:tc>
        <w:tc>
          <w:tcPr>
            <w:tcW w:w="2233" w:type="dxa"/>
            <w:tcBorders>
              <w:top w:val="single" w:color="auto" w:sz="4" w:space="0"/>
              <w:left w:val="single" w:color="auto" w:sz="4" w:space="0"/>
              <w:bottom w:val="single" w:color="auto" w:sz="4" w:space="0"/>
              <w:right w:val="single" w:color="auto" w:sz="4" w:space="0"/>
            </w:tcBorders>
          </w:tcPr>
          <w:p w14:paraId="44D15B9E">
            <w:pPr>
              <w:spacing w:after="0" w:line="252" w:lineRule="auto"/>
              <w:ind w:left="42"/>
              <w:jc w:val="center"/>
              <w:rPr>
                <w:rFonts w:ascii="Times New Roman" w:hAnsi="Times New Roman" w:eastAsia="Times New Roman"/>
                <w:sz w:val="24"/>
                <w:szCs w:val="24"/>
                <w:lang w:eastAsia="hr-HR"/>
              </w:rPr>
            </w:pPr>
            <w:r>
              <w:rPr>
                <w:rFonts w:ascii="Times New Roman" w:hAnsi="Times New Roman" w:eastAsia="Times New Roman"/>
                <w:sz w:val="24"/>
                <w:szCs w:val="24"/>
                <w:lang w:eastAsia="hr-HR"/>
              </w:rPr>
              <w:t>3</w:t>
            </w:r>
          </w:p>
        </w:tc>
      </w:tr>
      <w:tr w14:paraId="442FF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7448" w:type="dxa"/>
            <w:tcBorders>
              <w:top w:val="single" w:color="auto" w:sz="4" w:space="0"/>
              <w:left w:val="single" w:color="auto" w:sz="4" w:space="0"/>
              <w:bottom w:val="single" w:color="auto" w:sz="4" w:space="0"/>
              <w:right w:val="single" w:color="auto" w:sz="4" w:space="0"/>
            </w:tcBorders>
          </w:tcPr>
          <w:p w14:paraId="5EFD6A76">
            <w:pPr>
              <w:spacing w:after="0" w:line="252" w:lineRule="auto"/>
              <w:ind w:left="42"/>
              <w:jc w:val="both"/>
              <w:rPr>
                <w:rFonts w:ascii="Times New Roman" w:hAnsi="Times New Roman" w:eastAsia="Times New Roman"/>
                <w:sz w:val="24"/>
                <w:szCs w:val="24"/>
                <w:lang w:eastAsia="hr-HR"/>
              </w:rPr>
            </w:pPr>
            <w:r>
              <w:rPr>
                <w:rFonts w:ascii="Times New Roman" w:hAnsi="Times New Roman" w:eastAsia="Times New Roman"/>
                <w:sz w:val="24"/>
                <w:szCs w:val="24"/>
                <w:lang w:eastAsia="hr-HR"/>
              </w:rPr>
              <w:t>- udio vlastitih sredstava manji od 10%</w:t>
            </w:r>
          </w:p>
        </w:tc>
        <w:tc>
          <w:tcPr>
            <w:tcW w:w="2233" w:type="dxa"/>
            <w:tcBorders>
              <w:top w:val="single" w:color="auto" w:sz="4" w:space="0"/>
              <w:left w:val="single" w:color="auto" w:sz="4" w:space="0"/>
              <w:bottom w:val="single" w:color="auto" w:sz="4" w:space="0"/>
              <w:right w:val="single" w:color="auto" w:sz="4" w:space="0"/>
            </w:tcBorders>
          </w:tcPr>
          <w:p w14:paraId="3AEA28E7">
            <w:pPr>
              <w:spacing w:after="0" w:line="252" w:lineRule="auto"/>
              <w:ind w:left="42"/>
              <w:jc w:val="center"/>
              <w:rPr>
                <w:rFonts w:ascii="Times New Roman" w:hAnsi="Times New Roman" w:eastAsia="Times New Roman"/>
                <w:sz w:val="24"/>
                <w:szCs w:val="24"/>
                <w:lang w:eastAsia="hr-HR"/>
              </w:rPr>
            </w:pPr>
            <w:r>
              <w:rPr>
                <w:rFonts w:ascii="Times New Roman" w:hAnsi="Times New Roman" w:eastAsia="Times New Roman"/>
                <w:sz w:val="24"/>
                <w:szCs w:val="24"/>
                <w:lang w:eastAsia="hr-HR"/>
              </w:rPr>
              <w:t>1</w:t>
            </w:r>
          </w:p>
        </w:tc>
      </w:tr>
      <w:tr w14:paraId="107F2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7448" w:type="dxa"/>
            <w:tcBorders>
              <w:top w:val="single" w:color="auto" w:sz="4" w:space="0"/>
              <w:left w:val="single" w:color="auto" w:sz="4" w:space="0"/>
              <w:bottom w:val="single" w:color="auto" w:sz="4" w:space="0"/>
              <w:right w:val="single" w:color="auto" w:sz="4" w:space="0"/>
            </w:tcBorders>
          </w:tcPr>
          <w:p w14:paraId="006247EE">
            <w:pPr>
              <w:tabs>
                <w:tab w:val="left" w:pos="1953"/>
                <w:tab w:val="center" w:pos="3637"/>
              </w:tabs>
              <w:spacing w:after="0" w:line="252" w:lineRule="auto"/>
              <w:ind w:left="42"/>
              <w:rPr>
                <w:rFonts w:ascii="Times New Roman" w:hAnsi="Times New Roman" w:eastAsia="Times New Roman"/>
                <w:b/>
                <w:sz w:val="24"/>
                <w:szCs w:val="24"/>
                <w:vertAlign w:val="subscript"/>
                <w:lang w:eastAsia="hr-HR"/>
              </w:rPr>
            </w:pPr>
            <w:r>
              <w:rPr>
                <w:rFonts w:ascii="Times New Roman" w:hAnsi="Times New Roman" w:eastAsia="Times New Roman"/>
                <w:b/>
                <w:sz w:val="24"/>
                <w:szCs w:val="24"/>
                <w:lang w:eastAsia="hr-HR"/>
              </w:rPr>
              <w:tab/>
            </w:r>
          </w:p>
          <w:p w14:paraId="556E1AD9">
            <w:pPr>
              <w:tabs>
                <w:tab w:val="left" w:pos="1953"/>
                <w:tab w:val="center" w:pos="3637"/>
              </w:tabs>
              <w:spacing w:after="0" w:line="252" w:lineRule="auto"/>
              <w:ind w:left="42"/>
              <w:rPr>
                <w:rFonts w:ascii="Times New Roman" w:hAnsi="Times New Roman" w:eastAsia="Times New Roman"/>
                <w:b/>
                <w:sz w:val="24"/>
                <w:szCs w:val="24"/>
                <w:lang w:eastAsia="hr-HR"/>
              </w:rPr>
            </w:pPr>
            <w:r>
              <w:rPr>
                <w:rFonts w:ascii="Times New Roman" w:hAnsi="Times New Roman" w:eastAsia="Times New Roman"/>
                <w:b/>
                <w:sz w:val="24"/>
                <w:szCs w:val="24"/>
                <w:lang w:eastAsia="hr-HR"/>
              </w:rPr>
              <w:t xml:space="preserve">                              UPLAĆENA LOVOZAKUPNINA</w:t>
            </w:r>
          </w:p>
          <w:p w14:paraId="7C08E92C">
            <w:pPr>
              <w:spacing w:after="0" w:line="252" w:lineRule="auto"/>
              <w:ind w:left="42"/>
              <w:jc w:val="center"/>
              <w:rPr>
                <w:rFonts w:ascii="Times New Roman" w:hAnsi="Times New Roman" w:eastAsia="Times New Roman"/>
                <w:b/>
                <w:sz w:val="24"/>
                <w:szCs w:val="24"/>
                <w:lang w:eastAsia="hr-HR"/>
              </w:rPr>
            </w:pPr>
            <w:r>
              <w:rPr>
                <w:rFonts w:ascii="Times New Roman" w:hAnsi="Times New Roman" w:eastAsia="Times New Roman"/>
                <w:b/>
                <w:sz w:val="24"/>
                <w:szCs w:val="24"/>
                <w:lang w:eastAsia="hr-HR"/>
              </w:rPr>
              <w:t>U PRETHODNOJ LOVNOJ GODINI</w:t>
            </w:r>
          </w:p>
          <w:p w14:paraId="7CE62C40">
            <w:pPr>
              <w:spacing w:after="0" w:line="252" w:lineRule="auto"/>
              <w:ind w:left="42"/>
              <w:jc w:val="center"/>
              <w:rPr>
                <w:rFonts w:ascii="Times New Roman" w:hAnsi="Times New Roman" w:eastAsia="Times New Roman"/>
                <w:b/>
                <w:sz w:val="24"/>
                <w:szCs w:val="24"/>
                <w:lang w:eastAsia="hr-HR"/>
              </w:rPr>
            </w:pPr>
          </w:p>
          <w:p w14:paraId="253C896A">
            <w:pPr>
              <w:tabs>
                <w:tab w:val="left" w:pos="3117"/>
              </w:tabs>
              <w:spacing w:after="0" w:line="252" w:lineRule="auto"/>
              <w:ind w:left="42"/>
              <w:jc w:val="both"/>
              <w:rPr>
                <w:rFonts w:ascii="Times New Roman" w:hAnsi="Times New Roman" w:eastAsia="Times New Roman"/>
                <w:b/>
                <w:sz w:val="24"/>
                <w:szCs w:val="24"/>
                <w:vertAlign w:val="subscript"/>
                <w:lang w:eastAsia="hr-HR"/>
              </w:rPr>
            </w:pPr>
            <w:r>
              <w:rPr>
                <w:rFonts w:ascii="Times New Roman" w:hAnsi="Times New Roman" w:eastAsia="Times New Roman"/>
                <w:b/>
                <w:sz w:val="24"/>
                <w:szCs w:val="24"/>
                <w:lang w:eastAsia="hr-HR"/>
              </w:rPr>
              <w:tab/>
            </w:r>
          </w:p>
        </w:tc>
        <w:tc>
          <w:tcPr>
            <w:tcW w:w="2233" w:type="dxa"/>
            <w:tcBorders>
              <w:top w:val="single" w:color="auto" w:sz="4" w:space="0"/>
              <w:left w:val="single" w:color="auto" w:sz="4" w:space="0"/>
              <w:bottom w:val="single" w:color="auto" w:sz="4" w:space="0"/>
              <w:right w:val="single" w:color="auto" w:sz="4" w:space="0"/>
            </w:tcBorders>
          </w:tcPr>
          <w:p w14:paraId="1E706C38">
            <w:pPr>
              <w:spacing w:after="0" w:line="252" w:lineRule="auto"/>
              <w:ind w:left="42"/>
              <w:jc w:val="center"/>
              <w:rPr>
                <w:rFonts w:ascii="Times New Roman" w:hAnsi="Times New Roman" w:eastAsia="Times New Roman"/>
                <w:b/>
                <w:sz w:val="24"/>
                <w:szCs w:val="24"/>
                <w:lang w:eastAsia="hr-HR"/>
              </w:rPr>
            </w:pPr>
          </w:p>
          <w:p w14:paraId="59F46979">
            <w:pPr>
              <w:spacing w:after="0" w:line="252" w:lineRule="auto"/>
              <w:ind w:left="42"/>
              <w:jc w:val="center"/>
              <w:rPr>
                <w:rFonts w:ascii="Times New Roman" w:hAnsi="Times New Roman" w:eastAsia="Times New Roman"/>
                <w:b/>
                <w:sz w:val="24"/>
                <w:szCs w:val="24"/>
                <w:lang w:eastAsia="hr-HR"/>
              </w:rPr>
            </w:pPr>
            <w:r>
              <w:rPr>
                <w:rFonts w:ascii="Times New Roman" w:hAnsi="Times New Roman" w:eastAsia="Times New Roman"/>
                <w:b/>
                <w:sz w:val="24"/>
                <w:szCs w:val="24"/>
                <w:lang w:eastAsia="hr-HR"/>
              </w:rPr>
              <w:t>3-5</w:t>
            </w:r>
          </w:p>
        </w:tc>
      </w:tr>
      <w:tr w14:paraId="184C2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7448" w:type="dxa"/>
            <w:tcBorders>
              <w:top w:val="single" w:color="auto" w:sz="4" w:space="0"/>
              <w:left w:val="single" w:color="auto" w:sz="4" w:space="0"/>
              <w:bottom w:val="single" w:color="auto" w:sz="4" w:space="0"/>
              <w:right w:val="single" w:color="auto" w:sz="4" w:space="0"/>
            </w:tcBorders>
          </w:tcPr>
          <w:p w14:paraId="79B7F128">
            <w:pPr>
              <w:spacing w:after="0" w:line="252" w:lineRule="auto"/>
              <w:ind w:left="42"/>
              <w:jc w:val="both"/>
              <w:rPr>
                <w:rFonts w:ascii="Times New Roman" w:hAnsi="Times New Roman" w:eastAsia="Times New Roman"/>
                <w:sz w:val="24"/>
                <w:szCs w:val="24"/>
                <w:lang w:eastAsia="hr-HR"/>
              </w:rPr>
            </w:pPr>
            <w:r>
              <w:rPr>
                <w:rFonts w:ascii="Times New Roman" w:hAnsi="Times New Roman" w:eastAsia="Times New Roman"/>
                <w:sz w:val="24"/>
                <w:szCs w:val="24"/>
                <w:lang w:eastAsia="hr-HR"/>
              </w:rPr>
              <w:t>- iznos uplaćene koncesije/zakupa iznad 1.300,00 €</w:t>
            </w:r>
          </w:p>
          <w:p w14:paraId="20AB794E">
            <w:pPr>
              <w:spacing w:after="0" w:line="252" w:lineRule="auto"/>
              <w:ind w:left="42"/>
              <w:jc w:val="both"/>
              <w:rPr>
                <w:rFonts w:ascii="Times New Roman" w:hAnsi="Times New Roman" w:eastAsia="Times New Roman"/>
                <w:color w:val="FF0000"/>
                <w:sz w:val="24"/>
                <w:szCs w:val="24"/>
                <w:lang w:eastAsia="hr-HR"/>
              </w:rPr>
            </w:pPr>
          </w:p>
        </w:tc>
        <w:tc>
          <w:tcPr>
            <w:tcW w:w="2233" w:type="dxa"/>
            <w:tcBorders>
              <w:top w:val="single" w:color="auto" w:sz="4" w:space="0"/>
              <w:left w:val="single" w:color="auto" w:sz="4" w:space="0"/>
              <w:bottom w:val="single" w:color="auto" w:sz="4" w:space="0"/>
              <w:right w:val="single" w:color="auto" w:sz="4" w:space="0"/>
            </w:tcBorders>
          </w:tcPr>
          <w:p w14:paraId="6D595CDB">
            <w:pPr>
              <w:spacing w:after="0" w:line="252" w:lineRule="auto"/>
              <w:ind w:left="42"/>
              <w:jc w:val="center"/>
              <w:rPr>
                <w:rFonts w:ascii="Times New Roman" w:hAnsi="Times New Roman" w:eastAsia="Times New Roman"/>
                <w:sz w:val="24"/>
                <w:szCs w:val="24"/>
                <w:lang w:eastAsia="hr-HR"/>
              </w:rPr>
            </w:pPr>
            <w:r>
              <w:rPr>
                <w:rFonts w:ascii="Times New Roman" w:hAnsi="Times New Roman" w:eastAsia="Times New Roman"/>
                <w:sz w:val="24"/>
                <w:szCs w:val="24"/>
                <w:lang w:eastAsia="hr-HR"/>
              </w:rPr>
              <w:t>5</w:t>
            </w:r>
          </w:p>
        </w:tc>
      </w:tr>
      <w:tr w14:paraId="293E0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7448" w:type="dxa"/>
            <w:tcBorders>
              <w:top w:val="single" w:color="auto" w:sz="4" w:space="0"/>
              <w:left w:val="single" w:color="auto" w:sz="4" w:space="0"/>
              <w:bottom w:val="single" w:color="auto" w:sz="4" w:space="0"/>
              <w:right w:val="single" w:color="auto" w:sz="4" w:space="0"/>
            </w:tcBorders>
          </w:tcPr>
          <w:p w14:paraId="3D972E48">
            <w:pPr>
              <w:spacing w:after="0" w:line="252" w:lineRule="auto"/>
              <w:ind w:left="42"/>
              <w:jc w:val="both"/>
              <w:rPr>
                <w:rFonts w:ascii="Times New Roman" w:hAnsi="Times New Roman" w:eastAsia="Times New Roman"/>
                <w:color w:val="FF0000"/>
                <w:sz w:val="24"/>
                <w:szCs w:val="24"/>
                <w:lang w:eastAsia="hr-HR"/>
              </w:rPr>
            </w:pPr>
            <w:r>
              <w:rPr>
                <w:rFonts w:ascii="Times New Roman" w:hAnsi="Times New Roman" w:eastAsia="Times New Roman"/>
                <w:sz w:val="24"/>
                <w:szCs w:val="24"/>
                <w:lang w:eastAsia="hr-HR"/>
              </w:rPr>
              <w:t>- iznos uplaćene koncesije/zakupa od 651,00 € - 1.300,00 €</w:t>
            </w:r>
          </w:p>
          <w:p w14:paraId="6BD7629C">
            <w:pPr>
              <w:spacing w:after="0" w:line="252" w:lineRule="auto"/>
              <w:ind w:left="42"/>
              <w:jc w:val="both"/>
              <w:rPr>
                <w:rFonts w:ascii="Times New Roman" w:hAnsi="Times New Roman" w:eastAsia="Times New Roman"/>
                <w:color w:val="FF0000"/>
                <w:sz w:val="24"/>
                <w:szCs w:val="24"/>
                <w:lang w:eastAsia="hr-HR"/>
              </w:rPr>
            </w:pPr>
          </w:p>
        </w:tc>
        <w:tc>
          <w:tcPr>
            <w:tcW w:w="2233" w:type="dxa"/>
            <w:tcBorders>
              <w:top w:val="single" w:color="auto" w:sz="4" w:space="0"/>
              <w:left w:val="single" w:color="auto" w:sz="4" w:space="0"/>
              <w:bottom w:val="single" w:color="auto" w:sz="4" w:space="0"/>
              <w:right w:val="single" w:color="auto" w:sz="4" w:space="0"/>
            </w:tcBorders>
          </w:tcPr>
          <w:p w14:paraId="40EEEE70">
            <w:pPr>
              <w:spacing w:after="0" w:line="252" w:lineRule="auto"/>
              <w:ind w:left="42"/>
              <w:jc w:val="center"/>
              <w:rPr>
                <w:rFonts w:ascii="Times New Roman" w:hAnsi="Times New Roman" w:eastAsia="Times New Roman"/>
                <w:sz w:val="24"/>
                <w:szCs w:val="24"/>
                <w:lang w:eastAsia="hr-HR"/>
              </w:rPr>
            </w:pPr>
            <w:r>
              <w:rPr>
                <w:rFonts w:ascii="Times New Roman" w:hAnsi="Times New Roman" w:eastAsia="Times New Roman"/>
                <w:sz w:val="24"/>
                <w:szCs w:val="24"/>
                <w:lang w:eastAsia="hr-HR"/>
              </w:rPr>
              <w:t>4</w:t>
            </w:r>
          </w:p>
        </w:tc>
      </w:tr>
      <w:tr w14:paraId="73682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8" w:type="dxa"/>
            <w:tcBorders>
              <w:top w:val="single" w:color="auto" w:sz="4" w:space="0"/>
              <w:left w:val="single" w:color="auto" w:sz="4" w:space="0"/>
              <w:bottom w:val="single" w:color="auto" w:sz="4" w:space="0"/>
              <w:right w:val="single" w:color="auto" w:sz="4" w:space="0"/>
            </w:tcBorders>
          </w:tcPr>
          <w:p w14:paraId="4C291CC5">
            <w:pPr>
              <w:spacing w:after="0" w:line="252" w:lineRule="auto"/>
              <w:ind w:left="42"/>
              <w:jc w:val="both"/>
              <w:rPr>
                <w:rFonts w:ascii="Times New Roman" w:hAnsi="Times New Roman" w:eastAsia="Times New Roman"/>
                <w:color w:val="FF0000"/>
                <w:sz w:val="24"/>
                <w:szCs w:val="24"/>
                <w:lang w:eastAsia="hr-HR"/>
              </w:rPr>
            </w:pPr>
            <w:r>
              <w:rPr>
                <w:rFonts w:ascii="Times New Roman" w:hAnsi="Times New Roman" w:eastAsia="Times New Roman"/>
                <w:sz w:val="24"/>
                <w:szCs w:val="24"/>
                <w:lang w:eastAsia="hr-HR"/>
              </w:rPr>
              <w:t>- iznos uplaćene koncesije/zakupa do 650,00 €</w:t>
            </w:r>
          </w:p>
          <w:p w14:paraId="60418A34">
            <w:pPr>
              <w:tabs>
                <w:tab w:val="left" w:pos="1915"/>
              </w:tabs>
              <w:spacing w:after="0" w:line="252" w:lineRule="auto"/>
              <w:ind w:left="42"/>
              <w:jc w:val="both"/>
              <w:rPr>
                <w:rFonts w:ascii="Times New Roman" w:hAnsi="Times New Roman" w:eastAsia="Times New Roman"/>
                <w:color w:val="FF0000"/>
                <w:sz w:val="24"/>
                <w:szCs w:val="24"/>
                <w:vertAlign w:val="subscript"/>
                <w:lang w:eastAsia="hr-HR"/>
              </w:rPr>
            </w:pPr>
            <w:r>
              <w:rPr>
                <w:rFonts w:ascii="Times New Roman" w:hAnsi="Times New Roman" w:eastAsia="Times New Roman"/>
                <w:color w:val="FF0000"/>
                <w:sz w:val="24"/>
                <w:szCs w:val="24"/>
                <w:lang w:eastAsia="hr-HR"/>
              </w:rPr>
              <w:tab/>
            </w:r>
          </w:p>
        </w:tc>
        <w:tc>
          <w:tcPr>
            <w:tcW w:w="2233" w:type="dxa"/>
            <w:tcBorders>
              <w:top w:val="single" w:color="auto" w:sz="4" w:space="0"/>
              <w:left w:val="single" w:color="auto" w:sz="4" w:space="0"/>
              <w:bottom w:val="single" w:color="auto" w:sz="4" w:space="0"/>
              <w:right w:val="single" w:color="auto" w:sz="4" w:space="0"/>
            </w:tcBorders>
          </w:tcPr>
          <w:p w14:paraId="4D5FE886">
            <w:pPr>
              <w:spacing w:after="0" w:line="252" w:lineRule="auto"/>
              <w:ind w:left="42"/>
              <w:jc w:val="center"/>
              <w:rPr>
                <w:rFonts w:ascii="Times New Roman" w:hAnsi="Times New Roman" w:eastAsia="Times New Roman"/>
                <w:sz w:val="24"/>
                <w:szCs w:val="24"/>
                <w:lang w:eastAsia="hr-HR"/>
              </w:rPr>
            </w:pPr>
            <w:r>
              <w:rPr>
                <w:rFonts w:ascii="Times New Roman" w:hAnsi="Times New Roman" w:eastAsia="Times New Roman"/>
                <w:sz w:val="24"/>
                <w:szCs w:val="24"/>
                <w:lang w:eastAsia="hr-HR"/>
              </w:rPr>
              <w:t>3</w:t>
            </w:r>
          </w:p>
        </w:tc>
      </w:tr>
      <w:tr w14:paraId="15441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7448" w:type="dxa"/>
            <w:tcBorders>
              <w:top w:val="single" w:color="auto" w:sz="4" w:space="0"/>
              <w:left w:val="single" w:color="auto" w:sz="4" w:space="0"/>
              <w:bottom w:val="single" w:color="auto" w:sz="4" w:space="0"/>
              <w:right w:val="single" w:color="auto" w:sz="4" w:space="0"/>
            </w:tcBorders>
          </w:tcPr>
          <w:p w14:paraId="7E513162">
            <w:pPr>
              <w:spacing w:after="0" w:line="252" w:lineRule="auto"/>
              <w:ind w:left="42"/>
              <w:jc w:val="center"/>
              <w:rPr>
                <w:rFonts w:ascii="Times New Roman" w:hAnsi="Times New Roman" w:eastAsia="Times New Roman"/>
                <w:b/>
                <w:sz w:val="24"/>
                <w:szCs w:val="24"/>
                <w:vertAlign w:val="subscript"/>
                <w:lang w:eastAsia="hr-HR"/>
              </w:rPr>
            </w:pPr>
          </w:p>
          <w:p w14:paraId="0BE080B4">
            <w:pPr>
              <w:spacing w:after="0" w:line="252" w:lineRule="auto"/>
              <w:ind w:left="42"/>
              <w:jc w:val="center"/>
              <w:rPr>
                <w:rFonts w:ascii="Times New Roman" w:hAnsi="Times New Roman" w:eastAsia="Times New Roman"/>
                <w:b/>
                <w:sz w:val="24"/>
                <w:szCs w:val="24"/>
                <w:lang w:eastAsia="hr-HR"/>
              </w:rPr>
            </w:pPr>
            <w:r>
              <w:rPr>
                <w:rFonts w:ascii="Times New Roman" w:hAnsi="Times New Roman" w:eastAsia="Times New Roman"/>
                <w:b/>
                <w:sz w:val="24"/>
                <w:szCs w:val="24"/>
                <w:lang w:eastAsia="hr-HR"/>
              </w:rPr>
              <w:t>BROJ ČLANOVA LOVOZAKUPNIKA</w:t>
            </w:r>
          </w:p>
          <w:p w14:paraId="3EB635DC">
            <w:pPr>
              <w:spacing w:after="0" w:line="252" w:lineRule="auto"/>
              <w:ind w:left="42"/>
              <w:jc w:val="both"/>
              <w:rPr>
                <w:rFonts w:ascii="Times New Roman" w:hAnsi="Times New Roman" w:eastAsia="Times New Roman"/>
                <w:b/>
                <w:sz w:val="24"/>
                <w:szCs w:val="24"/>
                <w:vertAlign w:val="subscript"/>
                <w:lang w:eastAsia="hr-HR"/>
              </w:rPr>
            </w:pPr>
          </w:p>
          <w:p w14:paraId="6F3D02CC">
            <w:pPr>
              <w:spacing w:after="0" w:line="252" w:lineRule="auto"/>
              <w:ind w:left="42"/>
              <w:jc w:val="both"/>
              <w:rPr>
                <w:rFonts w:ascii="Times New Roman" w:hAnsi="Times New Roman" w:eastAsia="Times New Roman"/>
                <w:b/>
                <w:sz w:val="24"/>
                <w:szCs w:val="24"/>
                <w:vertAlign w:val="subscript"/>
                <w:lang w:eastAsia="hr-HR"/>
              </w:rPr>
            </w:pPr>
          </w:p>
        </w:tc>
        <w:tc>
          <w:tcPr>
            <w:tcW w:w="2233" w:type="dxa"/>
            <w:tcBorders>
              <w:top w:val="single" w:color="auto" w:sz="4" w:space="0"/>
              <w:left w:val="single" w:color="auto" w:sz="4" w:space="0"/>
              <w:bottom w:val="single" w:color="auto" w:sz="4" w:space="0"/>
              <w:right w:val="single" w:color="auto" w:sz="4" w:space="0"/>
            </w:tcBorders>
          </w:tcPr>
          <w:p w14:paraId="12A15010">
            <w:pPr>
              <w:spacing w:after="0" w:line="252" w:lineRule="auto"/>
              <w:ind w:left="42"/>
              <w:jc w:val="center"/>
              <w:rPr>
                <w:rFonts w:ascii="Times New Roman" w:hAnsi="Times New Roman" w:eastAsia="Times New Roman"/>
                <w:b/>
                <w:sz w:val="24"/>
                <w:szCs w:val="24"/>
                <w:lang w:eastAsia="hr-HR"/>
              </w:rPr>
            </w:pPr>
          </w:p>
          <w:p w14:paraId="51892458">
            <w:pPr>
              <w:spacing w:after="0" w:line="252" w:lineRule="auto"/>
              <w:ind w:left="42"/>
              <w:jc w:val="center"/>
              <w:rPr>
                <w:rFonts w:ascii="Times New Roman" w:hAnsi="Times New Roman" w:eastAsia="Times New Roman"/>
                <w:b/>
                <w:sz w:val="24"/>
                <w:szCs w:val="24"/>
                <w:lang w:eastAsia="hr-HR"/>
              </w:rPr>
            </w:pPr>
            <w:r>
              <w:rPr>
                <w:rFonts w:ascii="Times New Roman" w:hAnsi="Times New Roman" w:eastAsia="Times New Roman"/>
                <w:b/>
                <w:sz w:val="24"/>
                <w:szCs w:val="24"/>
                <w:lang w:eastAsia="hr-HR"/>
              </w:rPr>
              <w:t>3-5</w:t>
            </w:r>
          </w:p>
        </w:tc>
      </w:tr>
      <w:tr w14:paraId="69B44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448" w:type="dxa"/>
            <w:tcBorders>
              <w:top w:val="single" w:color="auto" w:sz="4" w:space="0"/>
              <w:left w:val="single" w:color="auto" w:sz="4" w:space="0"/>
              <w:bottom w:val="single" w:color="auto" w:sz="4" w:space="0"/>
              <w:right w:val="single" w:color="auto" w:sz="4" w:space="0"/>
            </w:tcBorders>
          </w:tcPr>
          <w:p w14:paraId="70104D30">
            <w:pPr>
              <w:spacing w:after="0" w:line="252" w:lineRule="auto"/>
              <w:jc w:val="both"/>
              <w:rPr>
                <w:rFonts w:ascii="Times New Roman" w:hAnsi="Times New Roman" w:eastAsia="Times New Roman"/>
                <w:sz w:val="24"/>
                <w:szCs w:val="24"/>
                <w:lang w:eastAsia="hr-HR"/>
              </w:rPr>
            </w:pPr>
            <w:r>
              <w:rPr>
                <w:rFonts w:ascii="Times New Roman" w:hAnsi="Times New Roman" w:eastAsia="Times New Roman"/>
                <w:sz w:val="24"/>
                <w:szCs w:val="24"/>
                <w:lang w:eastAsia="hr-HR"/>
              </w:rPr>
              <w:t>- preko 100 članova</w:t>
            </w:r>
          </w:p>
        </w:tc>
        <w:tc>
          <w:tcPr>
            <w:tcW w:w="2233" w:type="dxa"/>
            <w:tcBorders>
              <w:top w:val="single" w:color="auto" w:sz="4" w:space="0"/>
              <w:left w:val="single" w:color="auto" w:sz="4" w:space="0"/>
              <w:bottom w:val="single" w:color="auto" w:sz="4" w:space="0"/>
              <w:right w:val="single" w:color="auto" w:sz="4" w:space="0"/>
            </w:tcBorders>
          </w:tcPr>
          <w:p w14:paraId="3C6E2CAA">
            <w:pPr>
              <w:spacing w:after="0" w:line="252" w:lineRule="auto"/>
              <w:ind w:left="42"/>
              <w:jc w:val="center"/>
              <w:rPr>
                <w:rFonts w:ascii="Times New Roman" w:hAnsi="Times New Roman" w:eastAsia="Times New Roman"/>
                <w:sz w:val="24"/>
                <w:szCs w:val="24"/>
                <w:lang w:eastAsia="hr-HR"/>
              </w:rPr>
            </w:pPr>
            <w:r>
              <w:rPr>
                <w:rFonts w:ascii="Times New Roman" w:hAnsi="Times New Roman" w:eastAsia="Times New Roman"/>
                <w:sz w:val="24"/>
                <w:szCs w:val="24"/>
                <w:lang w:eastAsia="hr-HR"/>
              </w:rPr>
              <w:t>5</w:t>
            </w:r>
          </w:p>
        </w:tc>
      </w:tr>
      <w:tr w14:paraId="097C7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8" w:type="dxa"/>
            <w:tcBorders>
              <w:top w:val="single" w:color="auto" w:sz="4" w:space="0"/>
              <w:left w:val="single" w:color="auto" w:sz="4" w:space="0"/>
              <w:bottom w:val="single" w:color="auto" w:sz="4" w:space="0"/>
              <w:right w:val="single" w:color="auto" w:sz="4" w:space="0"/>
            </w:tcBorders>
          </w:tcPr>
          <w:p w14:paraId="439E066E">
            <w:pPr>
              <w:spacing w:after="0" w:line="252" w:lineRule="auto"/>
              <w:jc w:val="both"/>
              <w:rPr>
                <w:rFonts w:ascii="Times New Roman" w:hAnsi="Times New Roman" w:eastAsia="Times New Roman"/>
                <w:sz w:val="24"/>
                <w:szCs w:val="24"/>
                <w:lang w:eastAsia="hr-HR"/>
              </w:rPr>
            </w:pPr>
            <w:r>
              <w:rPr>
                <w:rFonts w:ascii="Times New Roman" w:hAnsi="Times New Roman" w:eastAsia="Times New Roman"/>
                <w:sz w:val="24"/>
                <w:szCs w:val="24"/>
                <w:lang w:eastAsia="hr-HR"/>
              </w:rPr>
              <w:t>- od 51-100 članova</w:t>
            </w:r>
          </w:p>
        </w:tc>
        <w:tc>
          <w:tcPr>
            <w:tcW w:w="2233" w:type="dxa"/>
            <w:tcBorders>
              <w:top w:val="single" w:color="auto" w:sz="4" w:space="0"/>
              <w:left w:val="single" w:color="auto" w:sz="4" w:space="0"/>
              <w:bottom w:val="single" w:color="auto" w:sz="4" w:space="0"/>
              <w:right w:val="single" w:color="auto" w:sz="4" w:space="0"/>
            </w:tcBorders>
          </w:tcPr>
          <w:p w14:paraId="20697A10">
            <w:pPr>
              <w:spacing w:after="0" w:line="252" w:lineRule="auto"/>
              <w:ind w:left="42"/>
              <w:jc w:val="center"/>
              <w:rPr>
                <w:rFonts w:ascii="Times New Roman" w:hAnsi="Times New Roman" w:eastAsia="Times New Roman"/>
                <w:sz w:val="24"/>
                <w:szCs w:val="24"/>
                <w:lang w:eastAsia="hr-HR"/>
              </w:rPr>
            </w:pPr>
            <w:r>
              <w:rPr>
                <w:rFonts w:ascii="Times New Roman" w:hAnsi="Times New Roman" w:eastAsia="Times New Roman"/>
                <w:sz w:val="24"/>
                <w:szCs w:val="24"/>
                <w:lang w:eastAsia="hr-HR"/>
              </w:rPr>
              <w:t>4</w:t>
            </w:r>
          </w:p>
        </w:tc>
      </w:tr>
      <w:tr w14:paraId="44F30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7448" w:type="dxa"/>
            <w:tcBorders>
              <w:top w:val="single" w:color="auto" w:sz="4" w:space="0"/>
              <w:left w:val="single" w:color="auto" w:sz="4" w:space="0"/>
              <w:bottom w:val="single" w:color="auto" w:sz="4" w:space="0"/>
              <w:right w:val="single" w:color="auto" w:sz="4" w:space="0"/>
            </w:tcBorders>
          </w:tcPr>
          <w:p w14:paraId="062C9C0C">
            <w:pPr>
              <w:spacing w:after="0" w:line="252" w:lineRule="auto"/>
              <w:jc w:val="both"/>
              <w:rPr>
                <w:rFonts w:ascii="Times New Roman" w:hAnsi="Times New Roman" w:eastAsia="Times New Roman"/>
                <w:sz w:val="24"/>
                <w:szCs w:val="24"/>
                <w:lang w:eastAsia="hr-HR"/>
              </w:rPr>
            </w:pPr>
            <w:r>
              <w:rPr>
                <w:rFonts w:ascii="Times New Roman" w:hAnsi="Times New Roman" w:eastAsia="Times New Roman"/>
                <w:sz w:val="24"/>
                <w:szCs w:val="24"/>
                <w:lang w:eastAsia="hr-HR"/>
              </w:rPr>
              <w:t>- do 50 članova</w:t>
            </w:r>
          </w:p>
        </w:tc>
        <w:tc>
          <w:tcPr>
            <w:tcW w:w="2233" w:type="dxa"/>
            <w:tcBorders>
              <w:top w:val="single" w:color="auto" w:sz="4" w:space="0"/>
              <w:left w:val="single" w:color="auto" w:sz="4" w:space="0"/>
              <w:bottom w:val="single" w:color="auto" w:sz="4" w:space="0"/>
              <w:right w:val="single" w:color="auto" w:sz="4" w:space="0"/>
            </w:tcBorders>
          </w:tcPr>
          <w:p w14:paraId="786B3C3E">
            <w:pPr>
              <w:spacing w:after="0" w:line="252" w:lineRule="auto"/>
              <w:ind w:left="42"/>
              <w:jc w:val="center"/>
              <w:rPr>
                <w:rFonts w:ascii="Times New Roman" w:hAnsi="Times New Roman" w:eastAsia="Times New Roman"/>
                <w:sz w:val="24"/>
                <w:szCs w:val="24"/>
                <w:lang w:eastAsia="hr-HR"/>
              </w:rPr>
            </w:pPr>
            <w:r>
              <w:rPr>
                <w:rFonts w:ascii="Times New Roman" w:hAnsi="Times New Roman" w:eastAsia="Times New Roman"/>
                <w:sz w:val="24"/>
                <w:szCs w:val="24"/>
                <w:lang w:eastAsia="hr-HR"/>
              </w:rPr>
              <w:t>3</w:t>
            </w:r>
          </w:p>
        </w:tc>
      </w:tr>
    </w:tbl>
    <w:p w14:paraId="3A3D8C07">
      <w:pPr>
        <w:spacing w:after="0"/>
        <w:jc w:val="both"/>
        <w:rPr>
          <w:rFonts w:ascii="Times New Roman" w:hAnsi="Times New Roman"/>
          <w:sz w:val="24"/>
          <w:szCs w:val="24"/>
        </w:rPr>
      </w:pPr>
    </w:p>
    <w:tbl>
      <w:tblPr>
        <w:tblStyle w:val="13"/>
        <w:tblW w:w="5000" w:type="pct"/>
        <w:tblInd w:w="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autofit"/>
        <w:tblCellMar>
          <w:top w:w="28" w:type="dxa"/>
          <w:left w:w="113" w:type="dxa"/>
          <w:bottom w:w="28" w:type="dxa"/>
          <w:right w:w="0" w:type="dxa"/>
        </w:tblCellMar>
      </w:tblPr>
      <w:tblGrid>
        <w:gridCol w:w="9899"/>
      </w:tblGrid>
      <w:tr w14:paraId="21003ED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28" w:type="dxa"/>
            <w:left w:w="113" w:type="dxa"/>
            <w:bottom w:w="28" w:type="dxa"/>
            <w:right w:w="0" w:type="dxa"/>
          </w:tblCellMar>
        </w:tblPrEx>
        <w:trPr>
          <w:trHeight w:val="308" w:hRule="exact"/>
        </w:trPr>
        <w:tc>
          <w:tcPr>
            <w:tcW w:w="5000" w:type="pct"/>
            <w:tcBorders>
              <w:top w:val="single" w:color="auto" w:sz="4" w:space="0"/>
              <w:left w:val="single" w:color="auto" w:sz="4" w:space="0"/>
              <w:bottom w:val="single" w:color="auto" w:sz="4" w:space="0"/>
              <w:right w:val="single" w:color="auto" w:sz="4" w:space="0"/>
            </w:tcBorders>
            <w:shd w:val="clear" w:color="auto" w:fill="E7E6E6" w:themeFill="background2"/>
            <w:vAlign w:val="center"/>
          </w:tcPr>
          <w:p w14:paraId="1E14DA1D">
            <w:pPr>
              <w:widowControl w:val="0"/>
              <w:suppressLineNumbers/>
              <w:snapToGrid w:val="0"/>
              <w:rPr>
                <w:rFonts w:ascii="Times New Roman" w:hAnsi="Times New Roman"/>
                <w:b/>
                <w:bCs/>
                <w:sz w:val="24"/>
                <w:szCs w:val="24"/>
              </w:rPr>
            </w:pPr>
            <w:r>
              <w:rPr>
                <w:rFonts w:ascii="Times New Roman" w:hAnsi="Times New Roman"/>
                <w:b/>
                <w:bCs/>
                <w:sz w:val="24"/>
                <w:szCs w:val="24"/>
              </w:rPr>
              <w:t>Uvjeti za odobravanje bespovratnih novčanih potpora</w:t>
            </w:r>
          </w:p>
        </w:tc>
      </w:tr>
    </w:tbl>
    <w:p w14:paraId="21776957">
      <w:pPr>
        <w:spacing w:before="27" w:after="0"/>
        <w:contextualSpacing/>
        <w:jc w:val="both"/>
        <w:textAlignment w:val="baseline"/>
        <w:rPr>
          <w:rFonts w:ascii="Times New Roman" w:hAnsi="Times New Roman"/>
          <w:sz w:val="16"/>
          <w:szCs w:val="16"/>
        </w:rPr>
      </w:pPr>
    </w:p>
    <w:p w14:paraId="7D110106">
      <w:pPr>
        <w:spacing w:before="27" w:after="0"/>
        <w:contextualSpacing/>
        <w:jc w:val="both"/>
        <w:textAlignment w:val="baseline"/>
        <w:rPr>
          <w:rFonts w:ascii="Times New Roman" w:hAnsi="Times New Roman" w:eastAsia="Times New Roman"/>
          <w:b/>
          <w:iCs/>
          <w:color w:val="231F20"/>
          <w:sz w:val="24"/>
          <w:szCs w:val="24"/>
          <w:lang w:eastAsia="hr-HR"/>
        </w:rPr>
      </w:pPr>
      <w:r>
        <w:rPr>
          <w:rFonts w:ascii="Times New Roman" w:hAnsi="Times New Roman"/>
          <w:sz w:val="24"/>
          <w:szCs w:val="24"/>
        </w:rPr>
        <w:t xml:space="preserve">Prihvatljivi troškovi po Javnom pozivu </w:t>
      </w:r>
      <w:r>
        <w:rPr>
          <w:rFonts w:ascii="Times New Roman" w:hAnsi="Times New Roman" w:eastAsia="Times New Roman"/>
          <w:iCs/>
          <w:color w:val="231F20"/>
          <w:sz w:val="24"/>
          <w:szCs w:val="24"/>
          <w:lang w:eastAsia="hr-HR"/>
        </w:rPr>
        <w:t>su oni koji se odnose na razdoblje</w:t>
      </w:r>
      <w:r>
        <w:rPr>
          <w:rFonts w:ascii="Times New Roman" w:hAnsi="Times New Roman" w:eastAsia="Times New Roman"/>
          <w:b/>
          <w:iCs/>
          <w:color w:val="231F20"/>
          <w:sz w:val="24"/>
          <w:szCs w:val="24"/>
          <w:lang w:eastAsia="hr-HR"/>
        </w:rPr>
        <w:t xml:space="preserve"> od 1. listopada 2025. godine do 31. prosinca 2026. godine:</w:t>
      </w:r>
    </w:p>
    <w:p w14:paraId="10613BE4">
      <w:pPr>
        <w:spacing w:before="27" w:after="0"/>
        <w:contextualSpacing/>
        <w:jc w:val="both"/>
        <w:textAlignment w:val="baseline"/>
        <w:rPr>
          <w:rFonts w:ascii="Times New Roman" w:hAnsi="Times New Roman" w:eastAsia="Times New Roman"/>
          <w:b/>
          <w:iCs/>
          <w:color w:val="231F20"/>
          <w:sz w:val="24"/>
          <w:szCs w:val="24"/>
          <w:lang w:eastAsia="hr-HR"/>
        </w:rPr>
      </w:pPr>
    </w:p>
    <w:p w14:paraId="7D436547">
      <w:pPr>
        <w:pStyle w:val="39"/>
        <w:numPr>
          <w:ilvl w:val="0"/>
          <w:numId w:val="4"/>
        </w:numPr>
        <w:spacing w:before="27" w:after="0" w:line="240" w:lineRule="auto"/>
        <w:contextualSpacing/>
        <w:jc w:val="both"/>
        <w:textAlignment w:val="baseline"/>
        <w:rPr>
          <w:rFonts w:ascii="Times New Roman" w:hAnsi="Times New Roman"/>
          <w:sz w:val="24"/>
          <w:szCs w:val="24"/>
        </w:rPr>
      </w:pPr>
      <w:r>
        <w:rPr>
          <w:rFonts w:ascii="Times New Roman" w:hAnsi="Times New Roman" w:eastAsia="Times New Roman"/>
          <w:bCs/>
          <w:sz w:val="24"/>
          <w:szCs w:val="24"/>
          <w:lang w:eastAsia="hr-HR"/>
        </w:rPr>
        <w:t xml:space="preserve">Za podnošenje prijave za sufinanciranje troškova nastalih </w:t>
      </w:r>
      <w:r>
        <w:rPr>
          <w:rFonts w:ascii="Times New Roman" w:hAnsi="Times New Roman" w:eastAsia="Times New Roman"/>
          <w:b/>
          <w:sz w:val="24"/>
          <w:szCs w:val="24"/>
          <w:lang w:eastAsia="hr-HR"/>
        </w:rPr>
        <w:t>do dana objave Javnog poziva</w:t>
      </w:r>
      <w:r>
        <w:rPr>
          <w:rFonts w:ascii="Times New Roman" w:hAnsi="Times New Roman" w:eastAsia="Times New Roman"/>
          <w:bCs/>
          <w:sz w:val="24"/>
          <w:szCs w:val="24"/>
          <w:lang w:eastAsia="hr-HR"/>
        </w:rPr>
        <w:t xml:space="preserve"> </w:t>
      </w:r>
      <w:r>
        <w:rPr>
          <w:rFonts w:ascii="Times New Roman" w:hAnsi="Times New Roman"/>
          <w:sz w:val="24"/>
          <w:szCs w:val="24"/>
        </w:rPr>
        <w:t>prihvatljivi troškovi moraju biti podmireni u cijelosti, što se dokazuje:</w:t>
      </w:r>
    </w:p>
    <w:p w14:paraId="0285C3B8">
      <w:pPr>
        <w:pStyle w:val="49"/>
        <w:numPr>
          <w:ilvl w:val="0"/>
          <w:numId w:val="5"/>
        </w:numPr>
        <w:jc w:val="both"/>
        <w:textAlignment w:val="baseline"/>
        <w:rPr>
          <w:rFonts w:ascii="Times New Roman" w:hAnsi="Times New Roman"/>
          <w:bCs/>
        </w:rPr>
      </w:pPr>
      <w:r>
        <w:rPr>
          <w:rFonts w:ascii="Times New Roman" w:hAnsi="Times New Roman" w:eastAsia="Calibri"/>
        </w:rPr>
        <w:t>preslikom računa ispostavljenog na prijavitelja plaćenog s poslovnog računa prijavitelja (uz potvrdu banke o izvršenom plaćanju ili bankovni izvod o izvršenom plaćanju)</w:t>
      </w:r>
    </w:p>
    <w:p w14:paraId="60B22290">
      <w:pPr>
        <w:pStyle w:val="49"/>
        <w:numPr>
          <w:ilvl w:val="0"/>
          <w:numId w:val="5"/>
        </w:numPr>
        <w:jc w:val="both"/>
        <w:textAlignment w:val="baseline"/>
        <w:rPr>
          <w:rFonts w:ascii="Times New Roman" w:hAnsi="Times New Roman"/>
          <w:bCs/>
        </w:rPr>
      </w:pPr>
      <w:r>
        <w:rPr>
          <w:rFonts w:ascii="Times New Roman" w:hAnsi="Times New Roman" w:eastAsia="Calibri"/>
        </w:rPr>
        <w:t>ugovorom sklopljenim sa prijaviteljem (uz potvrdu banke o izvršenom plaćanju ili bankovni izvod o izvršenom plaćanju s poslovnog računa prijavitelja)</w:t>
      </w:r>
    </w:p>
    <w:p w14:paraId="2CE4DB69">
      <w:pPr>
        <w:pStyle w:val="49"/>
        <w:numPr>
          <w:ilvl w:val="0"/>
          <w:numId w:val="5"/>
        </w:numPr>
        <w:jc w:val="both"/>
        <w:textAlignment w:val="baseline"/>
        <w:rPr>
          <w:rFonts w:ascii="Times New Roman" w:hAnsi="Times New Roman"/>
          <w:bCs/>
        </w:rPr>
      </w:pPr>
      <w:r>
        <w:rPr>
          <w:rFonts w:ascii="Times New Roman" w:hAnsi="Times New Roman"/>
          <w:bCs/>
        </w:rPr>
        <w:t>kre</w:t>
      </w:r>
      <w:r>
        <w:rPr>
          <w:rFonts w:ascii="Times New Roman" w:hAnsi="Times New Roman" w:eastAsia="Calibri"/>
        </w:rPr>
        <w:t>ditom (uz potvrdu/-e banke o izvršenom plaćanju ili bankovni izvod/-i o izvršenom plaćanju sa poslovnog računa prijavitelja)</w:t>
      </w:r>
    </w:p>
    <w:p w14:paraId="4840A0D5">
      <w:pPr>
        <w:pStyle w:val="39"/>
        <w:numPr>
          <w:ilvl w:val="0"/>
          <w:numId w:val="6"/>
        </w:numPr>
        <w:spacing w:before="27" w:after="0"/>
        <w:contextualSpacing/>
        <w:jc w:val="both"/>
        <w:textAlignment w:val="baseline"/>
        <w:rPr>
          <w:rFonts w:ascii="Times New Roman" w:hAnsi="Times New Roman" w:eastAsia="Times New Roman"/>
          <w:sz w:val="24"/>
          <w:szCs w:val="24"/>
          <w:lang w:eastAsia="hr-HR"/>
        </w:rPr>
      </w:pPr>
      <w:r>
        <w:rPr>
          <w:rFonts w:ascii="Times New Roman" w:hAnsi="Times New Roman" w:eastAsia="Times New Roman"/>
          <w:bCs/>
          <w:color w:val="231F20"/>
          <w:sz w:val="24"/>
          <w:szCs w:val="24"/>
          <w:lang w:eastAsia="hr-HR"/>
        </w:rPr>
        <w:t>Za podnošenje prijave za sufinanciranje troškova</w:t>
      </w:r>
      <w:r>
        <w:rPr>
          <w:rFonts w:ascii="Times New Roman" w:hAnsi="Times New Roman" w:eastAsia="Times New Roman"/>
          <w:b/>
          <w:color w:val="231F20"/>
          <w:sz w:val="24"/>
          <w:szCs w:val="24"/>
          <w:lang w:eastAsia="hr-HR"/>
        </w:rPr>
        <w:t xml:space="preserve"> koji se odnose na razdoblje nakon </w:t>
      </w:r>
      <w:r>
        <w:rPr>
          <w:rFonts w:ascii="Times New Roman" w:hAnsi="Times New Roman" w:eastAsia="Times New Roman"/>
          <w:b/>
          <w:iCs/>
          <w:color w:val="231F20"/>
          <w:sz w:val="24"/>
          <w:szCs w:val="24"/>
          <w:lang w:eastAsia="hr-HR"/>
        </w:rPr>
        <w:t>objave Javnog poziva</w:t>
      </w:r>
      <w:r>
        <w:rPr>
          <w:rFonts w:ascii="Times New Roman" w:hAnsi="Times New Roman" w:eastAsia="Times New Roman"/>
          <w:bCs/>
          <w:iCs/>
          <w:color w:val="231F20"/>
          <w:sz w:val="24"/>
          <w:szCs w:val="24"/>
          <w:lang w:eastAsia="hr-HR"/>
        </w:rPr>
        <w:t xml:space="preserve"> </w:t>
      </w:r>
      <w:r>
        <w:rPr>
          <w:rFonts w:ascii="Times New Roman" w:hAnsi="Times New Roman" w:eastAsia="Times New Roman"/>
          <w:sz w:val="24"/>
          <w:szCs w:val="24"/>
          <w:lang w:eastAsia="hr-HR"/>
        </w:rPr>
        <w:t>uz obrazac prijave za sufinanciranje potrebno je dostaviti ponudu, predračun, troškovnik i slično.</w:t>
      </w:r>
    </w:p>
    <w:p w14:paraId="59DC6A3D">
      <w:pPr>
        <w:tabs>
          <w:tab w:val="left" w:pos="851"/>
        </w:tabs>
        <w:spacing w:after="0" w:line="240" w:lineRule="auto"/>
        <w:jc w:val="both"/>
        <w:textAlignment w:val="baseline"/>
        <w:rPr>
          <w:rFonts w:ascii="Times New Roman" w:hAnsi="Times New Roman"/>
          <w:iCs/>
          <w:sz w:val="24"/>
          <w:szCs w:val="24"/>
        </w:rPr>
      </w:pPr>
    </w:p>
    <w:p w14:paraId="7266DBA0">
      <w:pPr>
        <w:tabs>
          <w:tab w:val="left" w:pos="851"/>
        </w:tabs>
        <w:spacing w:after="0" w:line="240" w:lineRule="auto"/>
        <w:jc w:val="both"/>
        <w:textAlignment w:val="baseline"/>
        <w:rPr>
          <w:rFonts w:ascii="Times New Roman" w:hAnsi="Times New Roman"/>
          <w:b/>
          <w:bCs/>
          <w:iCs/>
          <w:sz w:val="24"/>
          <w:szCs w:val="24"/>
        </w:rPr>
      </w:pPr>
      <w:r>
        <w:rPr>
          <w:rFonts w:ascii="Times New Roman" w:hAnsi="Times New Roman"/>
          <w:b/>
          <w:bCs/>
          <w:iCs/>
          <w:sz w:val="24"/>
          <w:szCs w:val="24"/>
        </w:rPr>
        <w:t>NAPOMENA:</w:t>
      </w:r>
    </w:p>
    <w:p w14:paraId="05286150">
      <w:pPr>
        <w:tabs>
          <w:tab w:val="left" w:pos="851"/>
        </w:tabs>
        <w:spacing w:after="0" w:line="240" w:lineRule="auto"/>
        <w:jc w:val="both"/>
        <w:textAlignment w:val="baseline"/>
        <w:rPr>
          <w:rFonts w:ascii="Times New Roman" w:hAnsi="Times New Roman"/>
          <w:b/>
          <w:bCs/>
          <w:iCs/>
          <w:sz w:val="24"/>
          <w:szCs w:val="24"/>
        </w:rPr>
      </w:pPr>
    </w:p>
    <w:p w14:paraId="6F047791">
      <w:pPr>
        <w:tabs>
          <w:tab w:val="left" w:pos="851"/>
        </w:tabs>
        <w:spacing w:after="0" w:line="240" w:lineRule="auto"/>
        <w:jc w:val="both"/>
        <w:textAlignment w:val="baseline"/>
        <w:rPr>
          <w:rFonts w:ascii="Times New Roman" w:hAnsi="Times New Roman"/>
          <w:b/>
          <w:bCs/>
          <w:iCs/>
          <w:sz w:val="24"/>
          <w:szCs w:val="24"/>
        </w:rPr>
      </w:pPr>
      <w:r>
        <w:rPr>
          <w:rFonts w:ascii="Times New Roman" w:hAnsi="Times New Roman"/>
          <w:b/>
          <w:bCs/>
          <w:iCs/>
          <w:sz w:val="24"/>
          <w:szCs w:val="24"/>
        </w:rPr>
        <w:t>Dobavljači roba i/ili pružatelji usluga ne mogu biti gospodarski subjekti čiji su vlasnici ili druge odgovorne osobe (direktori i sl.) ujedno i članovi lovoovlaštenika koji nabavlja te robe i/ili pružaju usluge.</w:t>
      </w:r>
    </w:p>
    <w:p w14:paraId="196BEBFE">
      <w:pPr>
        <w:tabs>
          <w:tab w:val="left" w:pos="851"/>
        </w:tabs>
        <w:spacing w:after="0" w:line="240" w:lineRule="auto"/>
        <w:jc w:val="both"/>
        <w:textAlignment w:val="baseline"/>
        <w:rPr>
          <w:rFonts w:ascii="Times New Roman" w:hAnsi="Times New Roman"/>
          <w:b/>
          <w:bCs/>
          <w:iCs/>
          <w:sz w:val="24"/>
          <w:szCs w:val="24"/>
          <w:vertAlign w:val="subscript"/>
        </w:rPr>
      </w:pPr>
    </w:p>
    <w:p w14:paraId="5C491B8E">
      <w:pPr>
        <w:widowControl w:val="0"/>
        <w:autoSpaceDE w:val="0"/>
        <w:autoSpaceDN w:val="0"/>
        <w:adjustRightInd w:val="0"/>
        <w:spacing w:after="0" w:line="240" w:lineRule="auto"/>
        <w:jc w:val="both"/>
        <w:rPr>
          <w:rFonts w:ascii="Times New Roman" w:hAnsi="Times New Roman"/>
          <w:b/>
          <w:bCs/>
          <w:color w:val="000000" w:themeColor="text1"/>
          <w:sz w:val="24"/>
          <w:szCs w:val="24"/>
          <w14:textFill>
            <w14:solidFill>
              <w14:schemeClr w14:val="tx1"/>
            </w14:solidFill>
          </w14:textFill>
        </w:rPr>
      </w:pPr>
      <w:r>
        <w:rPr>
          <w:rFonts w:ascii="Times New Roman" w:hAnsi="Times New Roman"/>
          <w:b/>
          <w:bCs/>
          <w:color w:val="000000" w:themeColor="text1"/>
          <w:sz w:val="24"/>
          <w:szCs w:val="24"/>
          <w14:textFill>
            <w14:solidFill>
              <w14:schemeClr w14:val="tx1"/>
            </w14:solidFill>
          </w14:textFill>
        </w:rPr>
        <w:t>Porez na dodanu vrijednost (PDV) je prihvatljivo ulaganje za korisnike koji nisu evidentirani u Registru obveznika poreza na dodanu vrijednost.</w:t>
      </w:r>
    </w:p>
    <w:p w14:paraId="6AFD1ABA">
      <w:pPr>
        <w:widowControl w:val="0"/>
        <w:autoSpaceDE w:val="0"/>
        <w:autoSpaceDN w:val="0"/>
        <w:adjustRightInd w:val="0"/>
        <w:spacing w:after="0" w:line="240" w:lineRule="auto"/>
        <w:jc w:val="both"/>
        <w:rPr>
          <w:rFonts w:ascii="Times New Roman" w:hAnsi="Times New Roman"/>
          <w:b/>
          <w:bCs/>
          <w:color w:val="000000" w:themeColor="text1"/>
          <w:sz w:val="24"/>
          <w:szCs w:val="24"/>
          <w14:textFill>
            <w14:solidFill>
              <w14:schemeClr w14:val="tx1"/>
            </w14:solidFill>
          </w14:textFill>
        </w:rPr>
      </w:pPr>
    </w:p>
    <w:p w14:paraId="4A8507A5">
      <w:pPr>
        <w:widowControl w:val="0"/>
        <w:autoSpaceDE w:val="0"/>
        <w:autoSpaceDN w:val="0"/>
        <w:adjustRightInd w:val="0"/>
        <w:spacing w:after="0" w:line="240" w:lineRule="auto"/>
        <w:jc w:val="both"/>
        <w:rPr>
          <w:rFonts w:ascii="Times New Roman" w:hAnsi="Times New Roman"/>
          <w:b/>
          <w:bCs/>
          <w:color w:val="000000" w:themeColor="text1"/>
          <w:sz w:val="24"/>
          <w:szCs w:val="24"/>
          <w14:textFill>
            <w14:solidFill>
              <w14:schemeClr w14:val="tx1"/>
            </w14:solidFill>
          </w14:textFill>
        </w:rPr>
      </w:pPr>
      <w:r>
        <w:rPr>
          <w:rFonts w:ascii="Times New Roman" w:hAnsi="Times New Roman"/>
          <w:b/>
          <w:bCs/>
          <w:color w:val="000000" w:themeColor="text1"/>
          <w:sz w:val="24"/>
          <w:szCs w:val="24"/>
          <w14:textFill>
            <w14:solidFill>
              <w14:schemeClr w14:val="tx1"/>
            </w14:solidFill>
          </w14:textFill>
        </w:rPr>
        <w:t xml:space="preserve">Plaćanja gotovinom nisu prihvatljiva po ovom Javnom pozivu. </w:t>
      </w:r>
    </w:p>
    <w:p w14:paraId="7BB2FDD5">
      <w:pPr>
        <w:widowControl w:val="0"/>
        <w:autoSpaceDE w:val="0"/>
        <w:autoSpaceDN w:val="0"/>
        <w:adjustRightInd w:val="0"/>
        <w:spacing w:after="0" w:line="240" w:lineRule="auto"/>
        <w:ind w:firstLine="708"/>
        <w:jc w:val="both"/>
        <w:rPr>
          <w:rFonts w:ascii="Times New Roman" w:hAnsi="Times New Roman"/>
          <w:bCs/>
          <w:color w:val="000000" w:themeColor="text1"/>
          <w:sz w:val="24"/>
          <w:szCs w:val="24"/>
          <w14:textFill>
            <w14:solidFill>
              <w14:schemeClr w14:val="tx1"/>
            </w14:solidFill>
          </w14:textFill>
        </w:rPr>
      </w:pPr>
    </w:p>
    <w:p w14:paraId="2E62D5F6">
      <w:pPr>
        <w:pStyle w:val="39"/>
        <w:widowControl w:val="0"/>
        <w:numPr>
          <w:ilvl w:val="0"/>
          <w:numId w:val="1"/>
        </w:numPr>
        <w:autoSpaceDE w:val="0"/>
        <w:autoSpaceDN w:val="0"/>
        <w:adjustRightInd w:val="0"/>
        <w:jc w:val="both"/>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POSTUPAK DODJELE, NAČIN PRIJAVE, ROKOVI, SADRŽAJ I PRILOZI</w:t>
      </w:r>
    </w:p>
    <w:tbl>
      <w:tblPr>
        <w:tblStyle w:val="13"/>
        <w:tblW w:w="5000" w:type="pct"/>
        <w:tblInd w:w="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autofit"/>
        <w:tblCellMar>
          <w:top w:w="28" w:type="dxa"/>
          <w:left w:w="113" w:type="dxa"/>
          <w:bottom w:w="28" w:type="dxa"/>
          <w:right w:w="0" w:type="dxa"/>
        </w:tblCellMar>
      </w:tblPr>
      <w:tblGrid>
        <w:gridCol w:w="9899"/>
      </w:tblGrid>
      <w:tr w14:paraId="290373A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28" w:type="dxa"/>
            <w:left w:w="113" w:type="dxa"/>
            <w:bottom w:w="28" w:type="dxa"/>
            <w:right w:w="0" w:type="dxa"/>
          </w:tblCellMar>
        </w:tblPrEx>
        <w:trPr>
          <w:trHeight w:val="393" w:hRule="exact"/>
        </w:trPr>
        <w:tc>
          <w:tcPr>
            <w:tcW w:w="5000" w:type="pct"/>
            <w:tcBorders>
              <w:top w:val="single" w:color="auto" w:sz="4" w:space="0"/>
              <w:left w:val="single" w:color="auto" w:sz="4" w:space="0"/>
              <w:bottom w:val="single" w:color="auto" w:sz="4" w:space="0"/>
              <w:right w:val="single" w:color="auto" w:sz="4" w:space="0"/>
            </w:tcBorders>
            <w:shd w:val="clear" w:color="auto" w:fill="E7E6E6" w:themeFill="background2"/>
            <w:vAlign w:val="center"/>
          </w:tcPr>
          <w:p w14:paraId="20B709E6">
            <w:pPr>
              <w:widowControl w:val="0"/>
              <w:suppressLineNumbers/>
              <w:snapToGrid w:val="0"/>
              <w:rPr>
                <w:rFonts w:ascii="Times New Roman" w:hAnsi="Times New Roman"/>
                <w:b/>
                <w:bCs/>
                <w:sz w:val="24"/>
                <w:szCs w:val="24"/>
              </w:rPr>
            </w:pPr>
            <w:r>
              <w:rPr>
                <w:rFonts w:ascii="Times New Roman" w:hAnsi="Times New Roman"/>
                <w:b/>
                <w:bCs/>
                <w:sz w:val="24"/>
                <w:szCs w:val="24"/>
              </w:rPr>
              <w:t>Postupak dodjele</w:t>
            </w:r>
          </w:p>
        </w:tc>
      </w:tr>
    </w:tbl>
    <w:p w14:paraId="0477AE60">
      <w:pPr>
        <w:spacing w:after="0" w:line="240" w:lineRule="auto"/>
        <w:jc w:val="both"/>
        <w:rPr>
          <w:rFonts w:ascii="Times New Roman" w:hAnsi="Times New Roman" w:eastAsia="Times New Roman"/>
          <w:bCs/>
          <w:sz w:val="24"/>
          <w:szCs w:val="24"/>
          <w:lang w:eastAsia="hr-HR"/>
        </w:rPr>
      </w:pPr>
    </w:p>
    <w:p w14:paraId="7E6945E7">
      <w:pPr>
        <w:spacing w:after="0" w:line="240" w:lineRule="auto"/>
        <w:ind w:left="360"/>
        <w:jc w:val="both"/>
        <w:rPr>
          <w:rFonts w:ascii="Times New Roman" w:hAnsi="Times New Roman" w:eastAsia="Times New Roman"/>
          <w:bCs/>
          <w:sz w:val="24"/>
          <w:szCs w:val="24"/>
          <w:lang w:eastAsia="hr-HR"/>
        </w:rPr>
      </w:pPr>
      <w:r>
        <w:rPr>
          <w:rFonts w:ascii="Times New Roman" w:hAnsi="Times New Roman" w:eastAsia="Times New Roman"/>
          <w:bCs/>
          <w:sz w:val="24"/>
          <w:szCs w:val="24"/>
          <w:lang w:eastAsia="hr-HR"/>
        </w:rPr>
        <w:t>Postupak dodjele bespovratnih novčanih potpora koji su predmet Javnog poziva provodi se kroz sljedeće aktivnosti:</w:t>
      </w:r>
    </w:p>
    <w:p w14:paraId="27ABB57E">
      <w:pPr>
        <w:spacing w:after="0" w:line="240" w:lineRule="auto"/>
        <w:ind w:left="360"/>
        <w:jc w:val="both"/>
        <w:rPr>
          <w:rFonts w:ascii="Times New Roman" w:hAnsi="Times New Roman" w:eastAsia="Times New Roman"/>
          <w:bCs/>
          <w:sz w:val="24"/>
          <w:szCs w:val="24"/>
          <w:lang w:eastAsia="hr-HR"/>
        </w:rPr>
      </w:pPr>
    </w:p>
    <w:p w14:paraId="015E5EF2">
      <w:pPr>
        <w:pStyle w:val="39"/>
        <w:numPr>
          <w:ilvl w:val="0"/>
          <w:numId w:val="7"/>
        </w:numPr>
        <w:spacing w:after="0" w:line="240" w:lineRule="auto"/>
        <w:jc w:val="both"/>
        <w:rPr>
          <w:rFonts w:ascii="Times New Roman" w:hAnsi="Times New Roman" w:eastAsiaTheme="minorHAnsi"/>
          <w:bCs/>
          <w:sz w:val="24"/>
          <w:szCs w:val="24"/>
        </w:rPr>
      </w:pPr>
      <w:r>
        <w:rPr>
          <w:rFonts w:ascii="Times New Roman" w:hAnsi="Times New Roman" w:eastAsia="Times New Roman"/>
          <w:bCs/>
          <w:sz w:val="24"/>
          <w:szCs w:val="24"/>
          <w:lang w:eastAsia="hr-HR"/>
        </w:rPr>
        <w:t xml:space="preserve">donošenje Odluke o raspisivanju Javnog poziva za </w:t>
      </w:r>
      <w:bookmarkStart w:id="16" w:name="_Hlk32236239"/>
      <w:r>
        <w:rPr>
          <w:rFonts w:ascii="Times New Roman" w:hAnsi="Times New Roman" w:eastAsia="Times New Roman"/>
          <w:bCs/>
          <w:sz w:val="24"/>
          <w:szCs w:val="24"/>
          <w:lang w:eastAsia="hr-HR"/>
        </w:rPr>
        <w:t xml:space="preserve">sufinanciranje </w:t>
      </w:r>
      <w:r>
        <w:rPr>
          <w:rFonts w:ascii="Times New Roman" w:hAnsi="Times New Roman" w:eastAsiaTheme="minorHAnsi"/>
          <w:bCs/>
          <w:sz w:val="24"/>
          <w:szCs w:val="24"/>
        </w:rPr>
        <w:t>razvoja lovstva na području Sisačko-moslavačk</w:t>
      </w:r>
      <w:r>
        <w:rPr>
          <w:rFonts w:ascii="Times New Roman" w:hAnsi="Times New Roman" w:eastAsiaTheme="minorHAnsi"/>
          <w:bCs/>
          <w:color w:val="000000" w:themeColor="text1"/>
          <w:sz w:val="24"/>
          <w:szCs w:val="24"/>
          <w14:textFill>
            <w14:solidFill>
              <w14:schemeClr w14:val="tx1"/>
            </w14:solidFill>
          </w14:textFill>
        </w:rPr>
        <w:t>e</w:t>
      </w:r>
      <w:r>
        <w:rPr>
          <w:rFonts w:ascii="Times New Roman" w:hAnsi="Times New Roman" w:eastAsiaTheme="minorHAnsi"/>
          <w:bCs/>
          <w:sz w:val="24"/>
          <w:szCs w:val="24"/>
        </w:rPr>
        <w:t xml:space="preserve"> županije za 2026. godinu</w:t>
      </w:r>
      <w:bookmarkEnd w:id="16"/>
    </w:p>
    <w:p w14:paraId="1C6D17EC">
      <w:pPr>
        <w:pStyle w:val="39"/>
        <w:numPr>
          <w:ilvl w:val="0"/>
          <w:numId w:val="7"/>
        </w:numPr>
        <w:spacing w:after="0" w:line="240" w:lineRule="auto"/>
        <w:jc w:val="both"/>
        <w:rPr>
          <w:rFonts w:ascii="Times New Roman" w:hAnsi="Times New Roman" w:eastAsiaTheme="minorHAnsi"/>
          <w:bCs/>
          <w:sz w:val="24"/>
          <w:szCs w:val="24"/>
        </w:rPr>
      </w:pPr>
      <w:r>
        <w:rPr>
          <w:rFonts w:ascii="Times New Roman" w:hAnsi="Times New Roman" w:eastAsiaTheme="minorHAnsi"/>
          <w:bCs/>
          <w:sz w:val="24"/>
          <w:szCs w:val="24"/>
        </w:rPr>
        <w:t>objava Javnog poziva</w:t>
      </w:r>
    </w:p>
    <w:p w14:paraId="203B8072">
      <w:pPr>
        <w:pStyle w:val="39"/>
        <w:numPr>
          <w:ilvl w:val="0"/>
          <w:numId w:val="7"/>
        </w:numPr>
        <w:spacing w:after="0" w:line="240" w:lineRule="auto"/>
        <w:jc w:val="both"/>
        <w:rPr>
          <w:rFonts w:ascii="Times New Roman" w:hAnsi="Times New Roman" w:eastAsiaTheme="minorHAnsi"/>
          <w:bCs/>
          <w:sz w:val="24"/>
          <w:szCs w:val="24"/>
        </w:rPr>
      </w:pPr>
      <w:r>
        <w:rPr>
          <w:rFonts w:ascii="Times New Roman" w:hAnsi="Times New Roman" w:eastAsiaTheme="minorHAnsi"/>
          <w:bCs/>
          <w:sz w:val="24"/>
          <w:szCs w:val="24"/>
        </w:rPr>
        <w:t xml:space="preserve">otvaranje prijava i utvrđivanje udovoljavanju propisanim uvjetima iz Odluke, Javnog poziva i Uputa za prijavitelje  </w:t>
      </w:r>
    </w:p>
    <w:p w14:paraId="25BB4DE0">
      <w:pPr>
        <w:pStyle w:val="39"/>
        <w:numPr>
          <w:ilvl w:val="0"/>
          <w:numId w:val="7"/>
        </w:numPr>
        <w:spacing w:after="0" w:line="240" w:lineRule="auto"/>
        <w:jc w:val="both"/>
        <w:rPr>
          <w:rFonts w:ascii="Times New Roman" w:hAnsi="Times New Roman" w:eastAsiaTheme="minorHAnsi"/>
          <w:bCs/>
          <w:sz w:val="24"/>
          <w:szCs w:val="24"/>
        </w:rPr>
      </w:pPr>
      <w:r>
        <w:rPr>
          <w:rFonts w:ascii="Times New Roman" w:hAnsi="Times New Roman" w:eastAsiaTheme="minorHAnsi"/>
          <w:bCs/>
          <w:sz w:val="24"/>
          <w:szCs w:val="24"/>
        </w:rPr>
        <w:t>pregledavanje i ocjenjivanje prijava, te utvrđivanje prijedloga korisnika bespovratnih novčanih potpora</w:t>
      </w:r>
    </w:p>
    <w:p w14:paraId="1DA74BE7">
      <w:pPr>
        <w:pStyle w:val="39"/>
        <w:numPr>
          <w:ilvl w:val="0"/>
          <w:numId w:val="7"/>
        </w:numPr>
        <w:spacing w:after="0" w:line="240" w:lineRule="auto"/>
        <w:jc w:val="both"/>
        <w:rPr>
          <w:rFonts w:ascii="Times New Roman" w:hAnsi="Times New Roman" w:eastAsiaTheme="minorHAnsi"/>
          <w:bCs/>
          <w:sz w:val="24"/>
          <w:szCs w:val="24"/>
        </w:rPr>
      </w:pPr>
      <w:r>
        <w:rPr>
          <w:rFonts w:ascii="Times New Roman" w:hAnsi="Times New Roman" w:eastAsiaTheme="minorHAnsi"/>
          <w:bCs/>
          <w:sz w:val="24"/>
          <w:szCs w:val="24"/>
        </w:rPr>
        <w:t>postupanje po prigovorima</w:t>
      </w:r>
    </w:p>
    <w:p w14:paraId="36179D9F">
      <w:pPr>
        <w:pStyle w:val="39"/>
        <w:numPr>
          <w:ilvl w:val="0"/>
          <w:numId w:val="7"/>
        </w:numPr>
        <w:spacing w:after="0" w:line="240" w:lineRule="auto"/>
        <w:jc w:val="both"/>
        <w:rPr>
          <w:rFonts w:ascii="Times New Roman" w:hAnsi="Times New Roman" w:eastAsiaTheme="minorHAnsi"/>
          <w:bCs/>
          <w:sz w:val="24"/>
          <w:szCs w:val="24"/>
        </w:rPr>
      </w:pPr>
      <w:r>
        <w:rPr>
          <w:rFonts w:ascii="Times New Roman" w:hAnsi="Times New Roman" w:eastAsiaTheme="minorHAnsi"/>
          <w:bCs/>
          <w:sz w:val="24"/>
          <w:szCs w:val="24"/>
        </w:rPr>
        <w:t xml:space="preserve">donošenje Odluke o dodjeli bespovratnih novčanih potpora od strane župana </w:t>
      </w:r>
    </w:p>
    <w:p w14:paraId="43069D8A">
      <w:pPr>
        <w:pStyle w:val="39"/>
        <w:numPr>
          <w:ilvl w:val="0"/>
          <w:numId w:val="7"/>
        </w:numPr>
        <w:spacing w:after="0" w:line="240" w:lineRule="auto"/>
        <w:jc w:val="both"/>
        <w:rPr>
          <w:rFonts w:ascii="Times New Roman" w:hAnsi="Times New Roman" w:eastAsiaTheme="minorHAnsi"/>
          <w:bCs/>
          <w:sz w:val="24"/>
          <w:szCs w:val="24"/>
        </w:rPr>
      </w:pPr>
      <w:r>
        <w:rPr>
          <w:rFonts w:ascii="Times New Roman" w:hAnsi="Times New Roman" w:eastAsia="Times New Roman"/>
          <w:sz w:val="24"/>
          <w:szCs w:val="24"/>
          <w:lang w:eastAsia="hr-HR"/>
        </w:rPr>
        <w:t>sklapanje Ugovora</w:t>
      </w:r>
    </w:p>
    <w:p w14:paraId="6FD67EE9">
      <w:pPr>
        <w:pStyle w:val="39"/>
        <w:numPr>
          <w:ilvl w:val="0"/>
          <w:numId w:val="7"/>
        </w:numPr>
        <w:spacing w:after="0" w:line="240" w:lineRule="auto"/>
        <w:jc w:val="both"/>
        <w:rPr>
          <w:rFonts w:ascii="Times New Roman" w:hAnsi="Times New Roman"/>
          <w:sz w:val="24"/>
          <w:szCs w:val="24"/>
        </w:rPr>
      </w:pPr>
      <w:r>
        <w:rPr>
          <w:rFonts w:ascii="Times New Roman" w:hAnsi="Times New Roman" w:eastAsiaTheme="minorHAnsi"/>
          <w:sz w:val="24"/>
          <w:szCs w:val="24"/>
        </w:rPr>
        <w:t xml:space="preserve">praćenje i izvješćivanje o provedbi korištenja bespovratnih novčanih potpora, te nadzor nad korištenjem dodijeljenih bespovratnih novčanih potpora </w:t>
      </w:r>
    </w:p>
    <w:p w14:paraId="12CFB14D">
      <w:pPr>
        <w:spacing w:after="0" w:line="240" w:lineRule="auto"/>
        <w:rPr>
          <w:rFonts w:ascii="Times New Roman" w:hAnsi="Times New Roman"/>
          <w:sz w:val="24"/>
          <w:szCs w:val="24"/>
        </w:rPr>
      </w:pPr>
    </w:p>
    <w:p w14:paraId="44D185CE">
      <w:pPr>
        <w:spacing w:after="0" w:line="240" w:lineRule="auto"/>
        <w:rPr>
          <w:rFonts w:ascii="Times New Roman" w:hAnsi="Times New Roman"/>
          <w:sz w:val="24"/>
          <w:szCs w:val="24"/>
        </w:rPr>
      </w:pPr>
    </w:p>
    <w:tbl>
      <w:tblPr>
        <w:tblStyle w:val="13"/>
        <w:tblW w:w="7318" w:type="pct"/>
        <w:tblInd w:w="-5"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autofit"/>
        <w:tblCellMar>
          <w:top w:w="28" w:type="dxa"/>
          <w:left w:w="113" w:type="dxa"/>
          <w:bottom w:w="28" w:type="dxa"/>
          <w:right w:w="0" w:type="dxa"/>
        </w:tblCellMar>
      </w:tblPr>
      <w:tblGrid>
        <w:gridCol w:w="9904"/>
        <w:gridCol w:w="4584"/>
      </w:tblGrid>
      <w:tr w14:paraId="677F73E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28" w:type="dxa"/>
            <w:left w:w="113" w:type="dxa"/>
            <w:bottom w:w="28" w:type="dxa"/>
            <w:right w:w="0" w:type="dxa"/>
          </w:tblCellMar>
        </w:tblPrEx>
        <w:trPr>
          <w:gridAfter w:val="1"/>
          <w:wAfter w:w="1582" w:type="pct"/>
          <w:trHeight w:val="331" w:hRule="exact"/>
        </w:trPr>
        <w:tc>
          <w:tcPr>
            <w:tcW w:w="3417" w:type="pct"/>
            <w:tcBorders>
              <w:top w:val="single" w:color="auto" w:sz="4" w:space="0"/>
              <w:left w:val="single" w:color="auto" w:sz="4" w:space="0"/>
              <w:bottom w:val="single" w:color="auto" w:sz="4" w:space="0"/>
              <w:right w:val="single" w:color="auto" w:sz="4" w:space="0"/>
            </w:tcBorders>
            <w:shd w:val="clear" w:color="auto" w:fill="E7E6E6" w:themeFill="background2"/>
            <w:vAlign w:val="center"/>
          </w:tcPr>
          <w:p w14:paraId="3506F778">
            <w:pPr>
              <w:widowControl w:val="0"/>
              <w:suppressLineNumbers/>
              <w:snapToGrid w:val="0"/>
              <w:spacing w:after="0"/>
              <w:rPr>
                <w:rFonts w:ascii="Times New Roman" w:hAnsi="Times New Roman"/>
                <w:b/>
                <w:bCs/>
                <w:sz w:val="24"/>
                <w:szCs w:val="24"/>
              </w:rPr>
            </w:pPr>
            <w:r>
              <w:rPr>
                <w:rFonts w:ascii="Times New Roman" w:hAnsi="Times New Roman"/>
                <w:b/>
                <w:bCs/>
                <w:sz w:val="24"/>
                <w:szCs w:val="24"/>
              </w:rPr>
              <w:t>Kako se prijaviti?</w:t>
            </w:r>
          </w:p>
          <w:p w14:paraId="675082F2">
            <w:pPr>
              <w:widowControl w:val="0"/>
              <w:suppressLineNumbers/>
              <w:snapToGrid w:val="0"/>
              <w:spacing w:after="0"/>
              <w:rPr>
                <w:rFonts w:ascii="Times New Roman" w:hAnsi="Times New Roman"/>
                <w:b/>
                <w:bCs/>
                <w:sz w:val="24"/>
                <w:szCs w:val="24"/>
              </w:rPr>
            </w:pPr>
          </w:p>
          <w:p w14:paraId="16BC5B47">
            <w:pPr>
              <w:pStyle w:val="39"/>
              <w:pBdr>
                <w:top w:val="single" w:color="auto" w:sz="4" w:space="1"/>
                <w:left w:val="single" w:color="auto" w:sz="4" w:space="4"/>
                <w:bottom w:val="single" w:color="auto" w:sz="4" w:space="1"/>
                <w:right w:val="single" w:color="auto" w:sz="4" w:space="4"/>
              </w:pBdr>
              <w:shd w:val="clear" w:color="auto" w:fill="FFFF99"/>
              <w:spacing w:after="0" w:line="360" w:lineRule="auto"/>
              <w:ind w:left="0"/>
              <w:jc w:val="both"/>
              <w:rPr>
                <w:rFonts w:ascii="Times New Roman" w:hAnsi="Times New Roman"/>
                <w:b/>
                <w:sz w:val="24"/>
                <w:szCs w:val="24"/>
              </w:rPr>
            </w:pPr>
            <w:r>
              <w:rPr>
                <w:rFonts w:ascii="Times New Roman" w:hAnsi="Times New Roman"/>
                <w:b/>
                <w:sz w:val="24"/>
                <w:szCs w:val="24"/>
              </w:rPr>
              <w:t xml:space="preserve">PJAVA PROJEKTA PUTEM RAČUNALNE APLIKACIJE vUprava:                             </w:t>
            </w:r>
            <w:r>
              <w:rPr>
                <w:rFonts w:ascii="Times New Roman" w:hAnsi="Times New Roman"/>
                <w:b/>
                <w:color w:val="C00000"/>
                <w:sz w:val="24"/>
                <w:szCs w:val="24"/>
              </w:rPr>
              <w:t>***NOVO U 2018.***</w:t>
            </w:r>
          </w:p>
          <w:p w14:paraId="530672B5">
            <w:pPr>
              <w:widowControl w:val="0"/>
              <w:suppressLineNumbers/>
              <w:snapToGrid w:val="0"/>
              <w:spacing w:after="0"/>
              <w:rPr>
                <w:rFonts w:ascii="Times New Roman" w:hAnsi="Times New Roman"/>
                <w:b/>
                <w:bCs/>
                <w:sz w:val="24"/>
                <w:szCs w:val="24"/>
              </w:rPr>
            </w:pPr>
          </w:p>
          <w:p w14:paraId="396B6145">
            <w:pPr>
              <w:widowControl w:val="0"/>
              <w:suppressLineNumbers/>
              <w:snapToGrid w:val="0"/>
              <w:spacing w:after="0"/>
              <w:rPr>
                <w:rFonts w:ascii="Times New Roman" w:hAnsi="Times New Roman"/>
                <w:b/>
                <w:bCs/>
                <w:sz w:val="24"/>
                <w:szCs w:val="24"/>
              </w:rPr>
            </w:pPr>
          </w:p>
        </w:tc>
      </w:tr>
      <w:tr w14:paraId="5A608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5" w:hRule="atLeast"/>
        </w:trPr>
        <w:tc>
          <w:tcPr>
            <w:tcW w:w="3418" w:type="pct"/>
          </w:tcPr>
          <w:p w14:paraId="6132BF8A">
            <w:pPr>
              <w:pStyle w:val="28"/>
              <w:jc w:val="both"/>
              <w:rPr>
                <w:rFonts w:ascii="Times New Roman" w:hAnsi="Times New Roman" w:cs="Times New Roman"/>
                <w:i w:val="0"/>
                <w:iCs/>
                <w:sz w:val="24"/>
                <w:lang w:val="sv-SE"/>
              </w:rPr>
            </w:pPr>
          </w:p>
          <w:p w14:paraId="2B1F3749">
            <w:pPr>
              <w:pStyle w:val="28"/>
              <w:jc w:val="both"/>
              <w:rPr>
                <w:rFonts w:ascii="Times New Roman" w:hAnsi="Times New Roman" w:cs="Times New Roman"/>
                <w:i w:val="0"/>
                <w:iCs/>
                <w:sz w:val="24"/>
                <w:lang w:val="sv-SE"/>
              </w:rPr>
            </w:pPr>
            <w:r>
              <w:rPr>
                <w:rFonts w:ascii="Times New Roman" w:hAnsi="Times New Roman" w:cs="Times New Roman"/>
                <w:i w:val="0"/>
                <w:iCs/>
                <w:sz w:val="24"/>
                <w:lang w:val="sv-SE"/>
              </w:rPr>
              <w:t>Prijave za sufinanciranje razvoja lovstva na području Sisačko-moslavačk</w:t>
            </w:r>
            <w:r>
              <w:rPr>
                <w:rFonts w:ascii="Times New Roman" w:hAnsi="Times New Roman" w:cs="Times New Roman"/>
                <w:i w:val="0"/>
                <w:iCs/>
                <w:color w:val="000000" w:themeColor="text1"/>
                <w:sz w:val="24"/>
                <w:lang w:val="sv-SE"/>
                <w14:textFill>
                  <w14:solidFill>
                    <w14:schemeClr w14:val="tx1"/>
                  </w14:solidFill>
                </w14:textFill>
              </w:rPr>
              <w:t>e</w:t>
            </w:r>
            <w:r>
              <w:rPr>
                <w:rFonts w:ascii="Times New Roman" w:hAnsi="Times New Roman" w:cs="Times New Roman"/>
                <w:i w:val="0"/>
                <w:iCs/>
                <w:sz w:val="24"/>
                <w:lang w:val="sv-SE"/>
              </w:rPr>
              <w:t xml:space="preserve"> županije dostavljaju se na propisanim obrascima popunjeni pomoću računala, na jedan od sljedećih načina:</w:t>
            </w:r>
          </w:p>
          <w:p w14:paraId="6798B15A">
            <w:pPr>
              <w:pStyle w:val="28"/>
              <w:jc w:val="both"/>
              <w:rPr>
                <w:rFonts w:ascii="Times New Roman" w:hAnsi="Times New Roman" w:cs="Times New Roman"/>
                <w:i w:val="0"/>
                <w:iCs/>
                <w:sz w:val="24"/>
                <w:lang w:val="sv-SE"/>
              </w:rPr>
            </w:pPr>
          </w:p>
          <w:p w14:paraId="67D8AE9F">
            <w:pPr>
              <w:pStyle w:val="39"/>
              <w:numPr>
                <w:ilvl w:val="0"/>
                <w:numId w:val="8"/>
              </w:numPr>
              <w:spacing w:after="0" w:line="240" w:lineRule="auto"/>
              <w:ind w:left="601" w:hanging="425"/>
              <w:contextualSpacing/>
              <w:jc w:val="both"/>
              <w:rPr>
                <w:rFonts w:ascii="Times New Roman" w:hAnsi="Times New Roman" w:eastAsia="Times New Roman"/>
                <w:b/>
                <w:bCs/>
                <w:sz w:val="24"/>
                <w:szCs w:val="24"/>
                <w:lang w:eastAsia="hr-HR"/>
              </w:rPr>
            </w:pPr>
            <w:r>
              <w:rPr>
                <w:rFonts w:ascii="Times New Roman" w:hAnsi="Times New Roman" w:eastAsia="Times New Roman"/>
                <w:b/>
                <w:bCs/>
                <w:sz w:val="24"/>
                <w:szCs w:val="24"/>
                <w:lang w:eastAsia="hr-HR"/>
              </w:rPr>
              <w:t>dostavom objavljenih obrazaca za prijavu</w:t>
            </w:r>
            <w:r>
              <w:rPr>
                <w:rFonts w:ascii="Times New Roman" w:hAnsi="Times New Roman" w:eastAsia="Times New Roman"/>
                <w:bCs/>
                <w:sz w:val="24"/>
                <w:szCs w:val="24"/>
                <w:lang w:eastAsia="hr-HR"/>
              </w:rPr>
              <w:t xml:space="preserve">, </w:t>
            </w:r>
            <w:r>
              <w:rPr>
                <w:rFonts w:ascii="Times New Roman" w:hAnsi="Times New Roman" w:eastAsia="Times New Roman"/>
                <w:b/>
                <w:sz w:val="24"/>
                <w:szCs w:val="24"/>
                <w:u w:val="single"/>
                <w:lang w:eastAsia="hr-HR"/>
              </w:rPr>
              <w:t>popunjenih pomoću računala</w:t>
            </w:r>
            <w:r>
              <w:rPr>
                <w:rFonts w:ascii="Times New Roman" w:hAnsi="Times New Roman" w:eastAsia="Times New Roman"/>
                <w:bCs/>
                <w:sz w:val="24"/>
                <w:szCs w:val="24"/>
                <w:lang w:eastAsia="hr-HR"/>
              </w:rPr>
              <w:t xml:space="preserve">, potpisanih i ovjerenih pečatom od strane ovlaštene osobe podnositelja zahtjeva u papirnatom obliku s traženim prilozima (poredanim prema redoslijedu kao što je navedeno u rubrici – </w:t>
            </w:r>
            <w:r>
              <w:rPr>
                <w:rFonts w:ascii="Times New Roman" w:hAnsi="Times New Roman" w:eastAsia="Times New Roman"/>
                <w:bCs/>
                <w:sz w:val="24"/>
                <w:szCs w:val="24"/>
                <w:u w:val="single"/>
                <w:lang w:eastAsia="hr-HR"/>
              </w:rPr>
              <w:t>Prilozi obrascu prijave</w:t>
            </w:r>
            <w:r>
              <w:rPr>
                <w:rFonts w:ascii="Times New Roman" w:hAnsi="Times New Roman" w:eastAsia="Times New Roman"/>
                <w:bCs/>
                <w:sz w:val="24"/>
                <w:szCs w:val="24"/>
                <w:lang w:eastAsia="hr-HR"/>
              </w:rPr>
              <w:t xml:space="preserve">) </w:t>
            </w:r>
            <w:r>
              <w:rPr>
                <w:rFonts w:ascii="Times New Roman" w:hAnsi="Times New Roman" w:eastAsia="Times New Roman"/>
                <w:b/>
                <w:bCs/>
                <w:sz w:val="24"/>
                <w:szCs w:val="24"/>
                <w:lang w:eastAsia="hr-HR"/>
              </w:rPr>
              <w:t>u zatvorenoj omotnici poštom ili osobnom dostavom</w:t>
            </w:r>
            <w:r>
              <w:rPr>
                <w:rFonts w:ascii="Times New Roman" w:hAnsi="Times New Roman" w:eastAsia="Times New Roman"/>
                <w:bCs/>
                <w:sz w:val="24"/>
                <w:szCs w:val="24"/>
                <w:lang w:eastAsia="hr-HR"/>
              </w:rPr>
              <w:t xml:space="preserve"> na adresu: Sisačko-moslavačka županija, Upravni odjel za poljoprivredu, ruralni razvoj, zaštitu okoliša i prirode, Rimska 28, 44 000 Sisak, s naznakom </w:t>
            </w:r>
            <w:r>
              <w:rPr>
                <w:rFonts w:ascii="Times New Roman" w:hAnsi="Times New Roman" w:eastAsia="Times New Roman"/>
                <w:b/>
                <w:bCs/>
                <w:sz w:val="24"/>
                <w:szCs w:val="24"/>
                <w:lang w:eastAsia="hr-HR"/>
              </w:rPr>
              <w:t xml:space="preserve">„Javni poziv za sufinanciranje razvoja lovstva na području Sisačko-moslavačke županije za 2026. godinu – NE OTVARAJ“. </w:t>
            </w:r>
            <w:r>
              <w:rPr>
                <w:rFonts w:ascii="Times New Roman" w:hAnsi="Times New Roman" w:eastAsia="Times New Roman"/>
                <w:sz w:val="24"/>
                <w:szCs w:val="24"/>
                <w:lang w:eastAsia="hr-HR"/>
              </w:rPr>
              <w:t>Na poleđini omotnice potrebno je navesti puni naziv i adresu prijavitelja.</w:t>
            </w:r>
            <w:r>
              <w:rPr>
                <w:rFonts w:ascii="Times New Roman" w:hAnsi="Times New Roman" w:eastAsia="Times New Roman"/>
                <w:b/>
                <w:bCs/>
                <w:sz w:val="24"/>
                <w:szCs w:val="24"/>
                <w:lang w:eastAsia="hr-HR"/>
              </w:rPr>
              <w:t xml:space="preserve"> </w:t>
            </w:r>
          </w:p>
          <w:p w14:paraId="7EAFFD4C">
            <w:pPr>
              <w:pStyle w:val="39"/>
              <w:spacing w:after="0" w:line="240" w:lineRule="auto"/>
              <w:ind w:left="709"/>
              <w:contextualSpacing/>
              <w:jc w:val="both"/>
              <w:rPr>
                <w:rFonts w:ascii="Times New Roman" w:hAnsi="Times New Roman" w:eastAsia="Times New Roman"/>
                <w:b/>
                <w:bCs/>
                <w:sz w:val="24"/>
                <w:szCs w:val="24"/>
                <w:lang w:eastAsia="hr-HR"/>
              </w:rPr>
            </w:pPr>
          </w:p>
          <w:p w14:paraId="40955042">
            <w:pPr>
              <w:jc w:val="both"/>
              <w:rPr>
                <w:rFonts w:ascii="Times New Roman" w:hAnsi="Times New Roman" w:eastAsia="Times New Roman"/>
                <w:bCs/>
                <w:sz w:val="24"/>
                <w:szCs w:val="24"/>
                <w:lang w:eastAsia="hr-HR"/>
              </w:rPr>
            </w:pPr>
            <w:r>
              <w:rPr>
                <w:rFonts w:ascii="Times New Roman" w:hAnsi="Times New Roman" w:eastAsia="Times New Roman"/>
                <w:bCs/>
                <w:sz w:val="24"/>
                <w:szCs w:val="24"/>
                <w:lang w:eastAsia="hr-HR"/>
              </w:rPr>
              <w:t>ili elektroničkim putem:</w:t>
            </w:r>
          </w:p>
          <w:p w14:paraId="3B34D35C">
            <w:pPr>
              <w:pStyle w:val="39"/>
              <w:numPr>
                <w:ilvl w:val="0"/>
                <w:numId w:val="8"/>
              </w:numPr>
              <w:spacing w:after="0" w:line="240" w:lineRule="auto"/>
              <w:ind w:left="601" w:hanging="425"/>
              <w:contextualSpacing/>
              <w:jc w:val="both"/>
              <w:rPr>
                <w:rFonts w:ascii="Times New Roman" w:hAnsi="Times New Roman" w:eastAsia="Times New Roman"/>
                <w:bCs/>
                <w:sz w:val="24"/>
                <w:szCs w:val="24"/>
                <w:lang w:eastAsia="hr-HR"/>
              </w:rPr>
            </w:pPr>
            <w:r>
              <w:rPr>
                <w:rFonts w:ascii="Times New Roman" w:hAnsi="Times New Roman" w:eastAsia="Times New Roman"/>
                <w:b/>
                <w:bCs/>
                <w:sz w:val="24"/>
                <w:szCs w:val="24"/>
                <w:lang w:eastAsia="hr-HR"/>
              </w:rPr>
              <w:t>dostavom objavljenih obrazaca za prijavu</w:t>
            </w:r>
            <w:r>
              <w:rPr>
                <w:rFonts w:ascii="Times New Roman" w:hAnsi="Times New Roman" w:eastAsia="Times New Roman"/>
                <w:bCs/>
                <w:sz w:val="24"/>
                <w:szCs w:val="24"/>
                <w:lang w:eastAsia="hr-HR"/>
              </w:rPr>
              <w:t xml:space="preserve">, popunjenih, potpisanih i ovjerenih pečatom od strane ovlaštene osobe podnositelja zahtjeva, skeniranih s traženim prilozima putem elektronske pošte </w:t>
            </w:r>
            <w:r>
              <w:fldChar w:fldCharType="begin"/>
            </w:r>
            <w:r>
              <w:instrText xml:space="preserve"> HYPERLINK "mailto:lovstvo@smz.hr" </w:instrText>
            </w:r>
            <w:r>
              <w:fldChar w:fldCharType="separate"/>
            </w:r>
            <w:r>
              <w:rPr>
                <w:rStyle w:val="19"/>
                <w:rFonts w:ascii="Times New Roman" w:hAnsi="Times New Roman" w:eastAsia="Times New Roman"/>
                <w:bCs/>
                <w:sz w:val="24"/>
                <w:szCs w:val="24"/>
                <w:lang w:eastAsia="hr-HR"/>
              </w:rPr>
              <w:t>lovstvo@smz.hr</w:t>
            </w:r>
            <w:r>
              <w:rPr>
                <w:rStyle w:val="19"/>
                <w:rFonts w:ascii="Times New Roman" w:hAnsi="Times New Roman" w:eastAsia="Times New Roman"/>
                <w:bCs/>
                <w:sz w:val="24"/>
                <w:szCs w:val="24"/>
                <w:lang w:eastAsia="hr-HR"/>
              </w:rPr>
              <w:fldChar w:fldCharType="end"/>
            </w:r>
            <w:r>
              <w:rPr>
                <w:rFonts w:ascii="Times New Roman" w:hAnsi="Times New Roman" w:eastAsia="Times New Roman"/>
                <w:bCs/>
                <w:sz w:val="24"/>
                <w:szCs w:val="24"/>
                <w:lang w:eastAsia="hr-HR"/>
              </w:rPr>
              <w:t xml:space="preserve"> </w:t>
            </w:r>
          </w:p>
          <w:p w14:paraId="749D5306">
            <w:pPr>
              <w:pStyle w:val="39"/>
              <w:spacing w:after="0" w:line="240" w:lineRule="auto"/>
              <w:ind w:left="709"/>
              <w:contextualSpacing/>
              <w:jc w:val="both"/>
              <w:rPr>
                <w:rFonts w:ascii="Times New Roman" w:hAnsi="Times New Roman" w:eastAsia="Times New Roman"/>
                <w:bCs/>
                <w:sz w:val="24"/>
                <w:szCs w:val="24"/>
                <w:lang w:eastAsia="hr-HR"/>
              </w:rPr>
            </w:pPr>
          </w:p>
          <w:p w14:paraId="52870EE1">
            <w:pPr>
              <w:jc w:val="both"/>
              <w:rPr>
                <w:rFonts w:ascii="Times New Roman" w:hAnsi="Times New Roman" w:eastAsia="Times New Roman"/>
                <w:bCs/>
                <w:sz w:val="24"/>
                <w:szCs w:val="24"/>
                <w:lang w:eastAsia="hr-HR"/>
              </w:rPr>
            </w:pPr>
            <w:r>
              <w:rPr>
                <w:rFonts w:ascii="Times New Roman" w:hAnsi="Times New Roman" w:eastAsia="Times New Roman"/>
                <w:bCs/>
                <w:sz w:val="24"/>
                <w:szCs w:val="24"/>
                <w:lang w:eastAsia="hr-HR"/>
              </w:rPr>
              <w:t xml:space="preserve">Navedeni obrasci će prijaviteljima biti dostupni na službenim mrežnim stranicama Županije </w:t>
            </w:r>
            <w:r>
              <w:fldChar w:fldCharType="begin"/>
            </w:r>
            <w:r>
              <w:instrText xml:space="preserve"> HYPERLINK "http://www.smz.hr" </w:instrText>
            </w:r>
            <w:r>
              <w:fldChar w:fldCharType="separate"/>
            </w:r>
            <w:r>
              <w:rPr>
                <w:rStyle w:val="19"/>
                <w:rFonts w:ascii="Times New Roman" w:hAnsi="Times New Roman" w:eastAsia="Times New Roman"/>
                <w:sz w:val="24"/>
                <w:szCs w:val="24"/>
                <w:lang w:eastAsia="hr-HR"/>
              </w:rPr>
              <w:t>www.smz.hr</w:t>
            </w:r>
            <w:r>
              <w:rPr>
                <w:rStyle w:val="19"/>
                <w:rFonts w:ascii="Times New Roman" w:hAnsi="Times New Roman" w:eastAsia="Times New Roman"/>
                <w:sz w:val="24"/>
                <w:szCs w:val="24"/>
                <w:lang w:eastAsia="hr-HR"/>
              </w:rPr>
              <w:fldChar w:fldCharType="end"/>
            </w:r>
            <w:r>
              <w:rPr>
                <w:rFonts w:ascii="Times New Roman" w:hAnsi="Times New Roman" w:eastAsia="Times New Roman"/>
                <w:bCs/>
                <w:sz w:val="24"/>
                <w:szCs w:val="24"/>
                <w:lang w:eastAsia="hr-HR"/>
              </w:rPr>
              <w:t xml:space="preserve"> u prilogu Javnog poziva i u Upravnom odjelu za poljoprivredu, ruralni razvoj, zaštitu okoliša i prirode, Odsjeku za ruralni razvoj i turizam.</w:t>
            </w:r>
          </w:p>
        </w:tc>
        <w:tc>
          <w:tcPr>
            <w:tcW w:w="1582" w:type="pct"/>
          </w:tcPr>
          <w:p w14:paraId="2252B7C4">
            <w:pPr>
              <w:spacing w:after="0" w:line="240" w:lineRule="auto"/>
              <w:ind w:left="463" w:right="-567" w:hanging="142"/>
              <w:jc w:val="both"/>
              <w:rPr>
                <w:rFonts w:ascii="Times New Roman" w:hAnsi="Times New Roman" w:eastAsia="Times New Roman"/>
                <w:sz w:val="24"/>
                <w:szCs w:val="24"/>
                <w:lang w:eastAsia="hr-HR"/>
              </w:rPr>
            </w:pPr>
          </w:p>
        </w:tc>
      </w:tr>
    </w:tbl>
    <w:p w14:paraId="4547BC76">
      <w:pPr>
        <w:pStyle w:val="38"/>
        <w:jc w:val="both"/>
        <w:rPr>
          <w:rFonts w:ascii="Times New Roman" w:hAnsi="Times New Roman"/>
          <w:b/>
          <w:bCs/>
          <w:i/>
          <w:iCs/>
          <w:sz w:val="24"/>
          <w:szCs w:val="24"/>
          <w:u w:val="single"/>
        </w:rPr>
      </w:pPr>
    </w:p>
    <w:p w14:paraId="6C15CD49">
      <w:pPr>
        <w:pStyle w:val="38"/>
        <w:jc w:val="both"/>
        <w:rPr>
          <w:rFonts w:ascii="Times New Roman" w:hAnsi="Times New Roman"/>
          <w:b/>
          <w:bCs/>
          <w:i/>
          <w:iCs/>
          <w:sz w:val="24"/>
          <w:szCs w:val="24"/>
          <w:u w:val="single"/>
        </w:rPr>
      </w:pPr>
      <w:r>
        <w:rPr>
          <w:rFonts w:ascii="Times New Roman" w:hAnsi="Times New Roman"/>
          <w:b/>
          <w:bCs/>
          <w:i/>
          <w:iCs/>
          <w:sz w:val="24"/>
          <w:szCs w:val="24"/>
          <w:u w:val="single"/>
        </w:rPr>
        <w:t xml:space="preserve">Oni prijavitelji koji se javljaju na više mjera i/ili aktivnosti po ovom Javnom pozivu ne prilažu istovjetnu dokumentaciju uz prijavu za svaku pojedinu potporu, već samo uz jednu prijavu, a u ostalima navode uz koju je prijavu dokumentacija predana. Prijave i dokumentacija za više mjera i/ili aktivnosti mogu se predati u istoj omotnici. </w:t>
      </w:r>
    </w:p>
    <w:p w14:paraId="628506E5">
      <w:pPr>
        <w:pStyle w:val="38"/>
        <w:jc w:val="both"/>
        <w:rPr>
          <w:rFonts w:ascii="Times New Roman" w:hAnsi="Times New Roman"/>
          <w:b/>
          <w:bCs/>
          <w:i/>
          <w:iCs/>
          <w:sz w:val="24"/>
          <w:szCs w:val="24"/>
          <w:u w:val="single"/>
        </w:rPr>
      </w:pPr>
    </w:p>
    <w:tbl>
      <w:tblPr>
        <w:tblStyle w:val="13"/>
        <w:tblW w:w="5000" w:type="pct"/>
        <w:tblInd w:w="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autofit"/>
        <w:tblCellMar>
          <w:top w:w="28" w:type="dxa"/>
          <w:left w:w="113" w:type="dxa"/>
          <w:bottom w:w="28" w:type="dxa"/>
          <w:right w:w="0" w:type="dxa"/>
        </w:tblCellMar>
      </w:tblPr>
      <w:tblGrid>
        <w:gridCol w:w="9899"/>
      </w:tblGrid>
      <w:tr w14:paraId="018D3D0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28" w:type="dxa"/>
            <w:left w:w="113" w:type="dxa"/>
            <w:bottom w:w="28" w:type="dxa"/>
            <w:right w:w="0" w:type="dxa"/>
          </w:tblCellMar>
        </w:tblPrEx>
        <w:trPr>
          <w:trHeight w:val="457" w:hRule="exact"/>
        </w:trPr>
        <w:tc>
          <w:tcPr>
            <w:tcW w:w="5000" w:type="pct"/>
            <w:tcBorders>
              <w:top w:val="single" w:color="auto" w:sz="4" w:space="0"/>
              <w:left w:val="single" w:color="auto" w:sz="4" w:space="0"/>
              <w:bottom w:val="single" w:color="auto" w:sz="4" w:space="0"/>
              <w:right w:val="single" w:color="auto" w:sz="4" w:space="0"/>
            </w:tcBorders>
            <w:shd w:val="clear" w:color="auto" w:fill="E7E6E6" w:themeFill="background2"/>
            <w:vAlign w:val="center"/>
          </w:tcPr>
          <w:p w14:paraId="0776A6F0">
            <w:pPr>
              <w:widowControl w:val="0"/>
              <w:suppressLineNumbers/>
              <w:shd w:val="clear" w:color="auto" w:fill="E7E6E6" w:themeFill="background2"/>
              <w:snapToGrid w:val="0"/>
              <w:rPr>
                <w:rFonts w:ascii="Times New Roman" w:hAnsi="Times New Roman"/>
                <w:b/>
                <w:bCs/>
                <w:sz w:val="24"/>
                <w:szCs w:val="24"/>
              </w:rPr>
            </w:pPr>
            <w:r>
              <w:rPr>
                <w:rFonts w:ascii="Times New Roman" w:hAnsi="Times New Roman"/>
                <w:b/>
                <w:bCs/>
                <w:sz w:val="24"/>
                <w:szCs w:val="24"/>
              </w:rPr>
              <w:t>Rok za dostavu prijave</w:t>
            </w:r>
          </w:p>
          <w:p w14:paraId="6DEEE9D3">
            <w:pPr>
              <w:widowControl w:val="0"/>
              <w:suppressLineNumbers/>
              <w:snapToGrid w:val="0"/>
              <w:rPr>
                <w:rFonts w:ascii="Times New Roman" w:hAnsi="Times New Roman"/>
                <w:b/>
                <w:bCs/>
                <w:sz w:val="24"/>
                <w:szCs w:val="24"/>
              </w:rPr>
            </w:pPr>
            <w:r>
              <w:rPr>
                <w:rFonts w:ascii="Times New Roman" w:hAnsi="Times New Roman"/>
                <w:b/>
                <w:bCs/>
                <w:sz w:val="24"/>
                <w:szCs w:val="24"/>
              </w:rPr>
              <w:t>I. OSNOVNI PODACI O PODNOSITELJU PRIJAVE PROGRAMA</w:t>
            </w:r>
          </w:p>
        </w:tc>
      </w:tr>
    </w:tbl>
    <w:p w14:paraId="226B6600">
      <w:pPr>
        <w:spacing w:after="0" w:line="240" w:lineRule="auto"/>
        <w:jc w:val="both"/>
        <w:rPr>
          <w:rFonts w:ascii="Times New Roman" w:hAnsi="Times New Roman"/>
          <w:b/>
          <w:bCs/>
          <w:sz w:val="24"/>
          <w:szCs w:val="24"/>
        </w:rPr>
      </w:pPr>
    </w:p>
    <w:p w14:paraId="0D34DEC7">
      <w:pPr>
        <w:spacing w:after="0" w:line="240" w:lineRule="auto"/>
        <w:jc w:val="both"/>
        <w:rPr>
          <w:rFonts w:ascii="Times New Roman" w:hAnsi="Times New Roman"/>
          <w:b/>
          <w:bCs/>
          <w:sz w:val="24"/>
          <w:szCs w:val="24"/>
        </w:rPr>
      </w:pPr>
      <w:r>
        <w:rPr>
          <w:rFonts w:ascii="Times New Roman" w:hAnsi="Times New Roman"/>
          <w:b/>
          <w:bCs/>
          <w:sz w:val="24"/>
          <w:szCs w:val="24"/>
        </w:rPr>
        <w:t xml:space="preserve">Javni poziv otvoren je od </w:t>
      </w:r>
      <w:bookmarkStart w:id="22" w:name="_GoBack"/>
      <w:bookmarkEnd w:id="22"/>
      <w:r>
        <w:rPr>
          <w:rFonts w:ascii="Times New Roman" w:hAnsi="Times New Roman"/>
          <w:b/>
          <w:bCs/>
          <w:sz w:val="24"/>
          <w:szCs w:val="24"/>
        </w:rPr>
        <w:t>3. kolovoza - 30. rujna 2026. godine.</w:t>
      </w:r>
      <w:r>
        <w:rPr>
          <w:rFonts w:ascii="Times New Roman" w:hAnsi="Times New Roman"/>
          <w:b/>
          <w:bCs/>
          <w:sz w:val="24"/>
          <w:szCs w:val="24"/>
        </w:rPr>
        <w:tab/>
      </w:r>
    </w:p>
    <w:p w14:paraId="40532FED">
      <w:pPr>
        <w:spacing w:after="0" w:line="240" w:lineRule="auto"/>
        <w:jc w:val="both"/>
        <w:rPr>
          <w:rFonts w:ascii="Times New Roman" w:hAnsi="Times New Roman"/>
          <w:sz w:val="24"/>
          <w:szCs w:val="24"/>
        </w:rPr>
      </w:pPr>
      <w:r>
        <w:rPr>
          <w:rFonts w:ascii="Times New Roman" w:hAnsi="Times New Roman"/>
          <w:sz w:val="24"/>
          <w:szCs w:val="24"/>
        </w:rPr>
        <w:t xml:space="preserve">Prijave poslane izvan roka neće biti razmatrane. </w:t>
      </w:r>
    </w:p>
    <w:p w14:paraId="52627F0F">
      <w:pPr>
        <w:spacing w:after="0" w:line="240" w:lineRule="auto"/>
        <w:jc w:val="both"/>
        <w:rPr>
          <w:rFonts w:ascii="Times New Roman" w:hAnsi="Times New Roman"/>
          <w:bCs/>
          <w:sz w:val="24"/>
          <w:szCs w:val="24"/>
        </w:rPr>
      </w:pPr>
    </w:p>
    <w:tbl>
      <w:tblPr>
        <w:tblStyle w:val="13"/>
        <w:tblW w:w="5000" w:type="pct"/>
        <w:tblInd w:w="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autofit"/>
        <w:tblCellMar>
          <w:top w:w="28" w:type="dxa"/>
          <w:left w:w="113" w:type="dxa"/>
          <w:bottom w:w="28" w:type="dxa"/>
          <w:right w:w="0" w:type="dxa"/>
        </w:tblCellMar>
      </w:tblPr>
      <w:tblGrid>
        <w:gridCol w:w="9899"/>
      </w:tblGrid>
      <w:tr w14:paraId="5867F1C4">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28" w:type="dxa"/>
            <w:left w:w="113" w:type="dxa"/>
            <w:bottom w:w="28" w:type="dxa"/>
            <w:right w:w="0" w:type="dxa"/>
          </w:tblCellMar>
        </w:tblPrEx>
        <w:trPr>
          <w:trHeight w:val="393" w:hRule="exact"/>
        </w:trPr>
        <w:tc>
          <w:tcPr>
            <w:tcW w:w="5000" w:type="pct"/>
            <w:tcBorders>
              <w:top w:val="single" w:color="auto" w:sz="4" w:space="0"/>
              <w:left w:val="single" w:color="auto" w:sz="4" w:space="0"/>
              <w:bottom w:val="single" w:color="auto" w:sz="4" w:space="0"/>
              <w:right w:val="single" w:color="auto" w:sz="4" w:space="0"/>
            </w:tcBorders>
            <w:shd w:val="clear" w:color="auto" w:fill="E7E6E6" w:themeFill="background2"/>
            <w:vAlign w:val="center"/>
          </w:tcPr>
          <w:p w14:paraId="27B15072">
            <w:pPr>
              <w:widowControl w:val="0"/>
              <w:suppressLineNumbers/>
              <w:snapToGrid w:val="0"/>
              <w:rPr>
                <w:rFonts w:ascii="Times New Roman" w:hAnsi="Times New Roman"/>
                <w:b/>
                <w:bCs/>
                <w:sz w:val="24"/>
                <w:szCs w:val="24"/>
              </w:rPr>
            </w:pPr>
            <w:r>
              <w:rPr>
                <w:rFonts w:ascii="Times New Roman" w:hAnsi="Times New Roman"/>
                <w:b/>
                <w:bCs/>
                <w:sz w:val="24"/>
                <w:szCs w:val="24"/>
              </w:rPr>
              <w:t>Sadržaj obrasca prijave</w:t>
            </w:r>
          </w:p>
        </w:tc>
      </w:tr>
    </w:tbl>
    <w:p w14:paraId="26B2C991">
      <w:pPr>
        <w:pStyle w:val="38"/>
        <w:jc w:val="both"/>
        <w:rPr>
          <w:rFonts w:ascii="Times New Roman" w:hAnsi="Times New Roman"/>
          <w:sz w:val="24"/>
          <w:szCs w:val="24"/>
        </w:rPr>
      </w:pPr>
    </w:p>
    <w:p w14:paraId="33EB7F97">
      <w:pPr>
        <w:pStyle w:val="38"/>
        <w:jc w:val="both"/>
        <w:rPr>
          <w:rFonts w:ascii="Times New Roman" w:hAnsi="Times New Roman"/>
          <w:sz w:val="24"/>
          <w:szCs w:val="24"/>
        </w:rPr>
      </w:pPr>
      <w:r>
        <w:rPr>
          <w:rFonts w:ascii="Times New Roman" w:hAnsi="Times New Roman"/>
          <w:sz w:val="24"/>
          <w:szCs w:val="24"/>
        </w:rPr>
        <w:t xml:space="preserve">Uz obrazac prijave (Obrazac 1 i/ili 2) koji obvezno mora biti potpisan i ovjeren od strane odgovorne osobe, potrebno je priložiti vjerodostojnu dokumentaciju i dokaze za svaki od traženih kriterija kako je navedeno po pojedinim korisnicima. </w:t>
      </w:r>
    </w:p>
    <w:p w14:paraId="6C8A9B5F">
      <w:pPr>
        <w:spacing w:after="0" w:line="240" w:lineRule="auto"/>
        <w:rPr>
          <w:rFonts w:ascii="Times New Roman" w:hAnsi="Times New Roman"/>
          <w:sz w:val="24"/>
          <w:szCs w:val="24"/>
        </w:rPr>
      </w:pPr>
    </w:p>
    <w:tbl>
      <w:tblPr>
        <w:tblStyle w:val="13"/>
        <w:tblW w:w="5000" w:type="pct"/>
        <w:tblInd w:w="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autofit"/>
        <w:tblCellMar>
          <w:top w:w="28" w:type="dxa"/>
          <w:left w:w="113" w:type="dxa"/>
          <w:bottom w:w="28" w:type="dxa"/>
          <w:right w:w="0" w:type="dxa"/>
        </w:tblCellMar>
      </w:tblPr>
      <w:tblGrid>
        <w:gridCol w:w="9899"/>
      </w:tblGrid>
      <w:tr w14:paraId="2B9089A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28" w:type="dxa"/>
            <w:left w:w="113" w:type="dxa"/>
            <w:bottom w:w="28" w:type="dxa"/>
            <w:right w:w="0" w:type="dxa"/>
          </w:tblCellMar>
        </w:tblPrEx>
        <w:trPr>
          <w:trHeight w:val="420" w:hRule="exact"/>
        </w:trPr>
        <w:tc>
          <w:tcPr>
            <w:tcW w:w="5000" w:type="pct"/>
            <w:tcBorders>
              <w:top w:val="single" w:color="auto" w:sz="4" w:space="0"/>
              <w:left w:val="single" w:color="auto" w:sz="4" w:space="0"/>
              <w:bottom w:val="single" w:color="auto" w:sz="4" w:space="0"/>
              <w:right w:val="single" w:color="auto" w:sz="4" w:space="0"/>
            </w:tcBorders>
            <w:shd w:val="clear" w:color="auto" w:fill="E7E6E6" w:themeFill="background2"/>
            <w:vAlign w:val="center"/>
          </w:tcPr>
          <w:p w14:paraId="1C776B59">
            <w:pPr>
              <w:widowControl w:val="0"/>
              <w:suppressLineNumbers/>
              <w:shd w:val="clear" w:color="auto" w:fill="E7E6E6" w:themeFill="background2"/>
              <w:snapToGrid w:val="0"/>
              <w:rPr>
                <w:rFonts w:ascii="Times New Roman" w:hAnsi="Times New Roman"/>
                <w:b/>
                <w:bCs/>
                <w:sz w:val="24"/>
                <w:szCs w:val="24"/>
              </w:rPr>
            </w:pPr>
            <w:r>
              <w:rPr>
                <w:rFonts w:ascii="Times New Roman" w:hAnsi="Times New Roman"/>
                <w:b/>
                <w:bCs/>
                <w:sz w:val="24"/>
                <w:szCs w:val="24"/>
              </w:rPr>
              <w:t>Prilozi obrascu prijave</w:t>
            </w:r>
          </w:p>
          <w:p w14:paraId="2C5DF519">
            <w:pPr>
              <w:widowControl w:val="0"/>
              <w:suppressLineNumbers/>
              <w:snapToGrid w:val="0"/>
              <w:rPr>
                <w:rFonts w:ascii="Times New Roman" w:hAnsi="Times New Roman"/>
                <w:b/>
                <w:bCs/>
                <w:color w:val="FF0000"/>
                <w:sz w:val="24"/>
                <w:szCs w:val="24"/>
              </w:rPr>
            </w:pPr>
            <w:r>
              <w:rPr>
                <w:rFonts w:ascii="Times New Roman" w:hAnsi="Times New Roman"/>
                <w:b/>
                <w:bCs/>
                <w:color w:val="FF0000"/>
                <w:sz w:val="24"/>
                <w:szCs w:val="24"/>
              </w:rPr>
              <w:t>I. OSNOVNI PODACI O PODNOSITELJU PRIJAVE PROGRAMA</w:t>
            </w:r>
          </w:p>
        </w:tc>
      </w:tr>
    </w:tbl>
    <w:p w14:paraId="22CBE005">
      <w:pPr>
        <w:widowControl w:val="0"/>
        <w:autoSpaceDE w:val="0"/>
        <w:autoSpaceDN w:val="0"/>
        <w:adjustRightInd w:val="0"/>
        <w:jc w:val="both"/>
        <w:rPr>
          <w:rFonts w:ascii="Times New Roman" w:hAnsi="Times New Roman" w:eastAsia="Times New Roman"/>
          <w:sz w:val="24"/>
          <w:szCs w:val="24"/>
          <w:lang w:eastAsia="hr-HR"/>
        </w:rPr>
      </w:pPr>
    </w:p>
    <w:p w14:paraId="4564E0E6">
      <w:pPr>
        <w:widowControl w:val="0"/>
        <w:autoSpaceDE w:val="0"/>
        <w:autoSpaceDN w:val="0"/>
        <w:adjustRightInd w:val="0"/>
        <w:jc w:val="both"/>
        <w:rPr>
          <w:rFonts w:ascii="Times New Roman" w:hAnsi="Times New Roman" w:eastAsia="Times New Roman"/>
          <w:sz w:val="24"/>
          <w:szCs w:val="24"/>
          <w:lang w:eastAsia="hr-HR"/>
        </w:rPr>
      </w:pPr>
      <w:r>
        <w:rPr>
          <w:rFonts w:ascii="Times New Roman" w:hAnsi="Times New Roman" w:eastAsia="Times New Roman"/>
          <w:sz w:val="24"/>
          <w:szCs w:val="24"/>
          <w:lang w:eastAsia="hr-HR"/>
        </w:rPr>
        <w:t xml:space="preserve">Prilozi Obrascu prijave: Izjava o postojanju organizacijskim kapaciteta (Obrazac 3) i Izjava o nepostojanju dvostrukog financiranja (Obrazac 4), te slijedeći dokazi: </w:t>
      </w:r>
    </w:p>
    <w:tbl>
      <w:tblPr>
        <w:tblStyle w:val="13"/>
        <w:tblW w:w="10065"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4121"/>
        <w:gridCol w:w="5377"/>
      </w:tblGrid>
      <w:tr w14:paraId="0EFD0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10065" w:type="dxa"/>
            <w:gridSpan w:val="3"/>
            <w:vAlign w:val="center"/>
          </w:tcPr>
          <w:p w14:paraId="4A14A135">
            <w:pPr>
              <w:spacing w:after="0" w:line="240" w:lineRule="auto"/>
              <w:jc w:val="center"/>
              <w:rPr>
                <w:rFonts w:ascii="Times New Roman" w:hAnsi="Times New Roman"/>
                <w:b/>
                <w:sz w:val="24"/>
                <w:szCs w:val="24"/>
              </w:rPr>
            </w:pPr>
            <w:bookmarkStart w:id="17" w:name="_Hlk516647281"/>
          </w:p>
          <w:p w14:paraId="14795D4D">
            <w:pPr>
              <w:spacing w:after="0" w:line="240" w:lineRule="auto"/>
              <w:jc w:val="center"/>
              <w:rPr>
                <w:rFonts w:ascii="Times New Roman" w:hAnsi="Times New Roman"/>
                <w:b/>
                <w:sz w:val="24"/>
                <w:szCs w:val="24"/>
                <w:lang w:eastAsia="hr-HR"/>
              </w:rPr>
            </w:pPr>
            <w:r>
              <w:rPr>
                <w:rFonts w:ascii="Times New Roman" w:hAnsi="Times New Roman"/>
                <w:b/>
                <w:sz w:val="24"/>
                <w:szCs w:val="24"/>
              </w:rPr>
              <w:t>UDRUGE/USTANOVE</w:t>
            </w:r>
          </w:p>
        </w:tc>
      </w:tr>
      <w:bookmarkEnd w:id="17"/>
      <w:tr w14:paraId="03F14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567" w:type="dxa"/>
            <w:textDirection w:val="btLr"/>
            <w:vAlign w:val="center"/>
          </w:tcPr>
          <w:p w14:paraId="1D06EEC7">
            <w:pPr>
              <w:spacing w:after="0" w:line="240" w:lineRule="auto"/>
              <w:rPr>
                <w:rFonts w:ascii="Times New Roman" w:hAnsi="Times New Roman" w:eastAsia="Times New Roman"/>
                <w:b/>
                <w:sz w:val="24"/>
                <w:szCs w:val="24"/>
                <w:lang w:eastAsia="hr-HR"/>
              </w:rPr>
            </w:pPr>
            <w:r>
              <w:rPr>
                <w:rFonts w:ascii="Times New Roman" w:hAnsi="Times New Roman" w:eastAsia="Times New Roman"/>
                <w:sz w:val="24"/>
                <w:szCs w:val="24"/>
                <w:lang w:eastAsia="hr-HR"/>
              </w:rPr>
              <w:t xml:space="preserve"> </w:t>
            </w:r>
          </w:p>
        </w:tc>
        <w:tc>
          <w:tcPr>
            <w:tcW w:w="4121" w:type="dxa"/>
            <w:vAlign w:val="center"/>
          </w:tcPr>
          <w:p w14:paraId="2E030D74">
            <w:pPr>
              <w:spacing w:after="0" w:line="240" w:lineRule="auto"/>
              <w:jc w:val="center"/>
              <w:rPr>
                <w:rFonts w:ascii="Times New Roman" w:hAnsi="Times New Roman" w:eastAsia="Times New Roman"/>
                <w:sz w:val="24"/>
                <w:szCs w:val="24"/>
                <w:lang w:eastAsia="hr-HR"/>
              </w:rPr>
            </w:pPr>
            <w:r>
              <w:rPr>
                <w:rFonts w:ascii="Times New Roman" w:hAnsi="Times New Roman" w:eastAsia="Times New Roman"/>
                <w:b/>
                <w:sz w:val="24"/>
                <w:szCs w:val="24"/>
                <w:lang w:eastAsia="hr-HR"/>
              </w:rPr>
              <w:t>U V J E T I</w:t>
            </w:r>
          </w:p>
        </w:tc>
        <w:tc>
          <w:tcPr>
            <w:tcW w:w="5377" w:type="dxa"/>
            <w:vAlign w:val="center"/>
          </w:tcPr>
          <w:p w14:paraId="4627E7B8">
            <w:pPr>
              <w:spacing w:after="0" w:line="240" w:lineRule="auto"/>
              <w:jc w:val="center"/>
              <w:rPr>
                <w:rFonts w:ascii="Times New Roman" w:hAnsi="Times New Roman" w:eastAsia="Times New Roman"/>
                <w:sz w:val="24"/>
                <w:szCs w:val="24"/>
                <w:lang w:eastAsia="hr-HR"/>
              </w:rPr>
            </w:pPr>
            <w:r>
              <w:rPr>
                <w:rFonts w:ascii="Times New Roman" w:hAnsi="Times New Roman" w:eastAsia="Times New Roman"/>
                <w:b/>
                <w:sz w:val="24"/>
                <w:szCs w:val="24"/>
                <w:lang w:eastAsia="hr-HR"/>
              </w:rPr>
              <w:t>D O K A Z I</w:t>
            </w:r>
          </w:p>
        </w:tc>
      </w:tr>
      <w:tr w14:paraId="3A7A2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567" w:type="dxa"/>
            <w:vAlign w:val="center"/>
          </w:tcPr>
          <w:p w14:paraId="5AA6FE4D">
            <w:pPr>
              <w:spacing w:after="0" w:line="240" w:lineRule="auto"/>
              <w:rPr>
                <w:rFonts w:ascii="Times New Roman" w:hAnsi="Times New Roman" w:eastAsia="Times New Roman"/>
                <w:b/>
                <w:sz w:val="24"/>
                <w:szCs w:val="24"/>
                <w:lang w:eastAsia="hr-HR"/>
              </w:rPr>
            </w:pPr>
            <w:r>
              <w:rPr>
                <w:rFonts w:ascii="Times New Roman" w:hAnsi="Times New Roman" w:eastAsia="Times New Roman"/>
                <w:sz w:val="24"/>
                <w:szCs w:val="24"/>
                <w:lang w:eastAsia="hr-HR"/>
              </w:rPr>
              <w:t>1.</w:t>
            </w:r>
          </w:p>
        </w:tc>
        <w:tc>
          <w:tcPr>
            <w:tcW w:w="4121" w:type="dxa"/>
            <w:shd w:val="clear" w:color="000000" w:fill="FFFFFF"/>
            <w:vAlign w:val="center"/>
          </w:tcPr>
          <w:p w14:paraId="5376A89D">
            <w:pPr>
              <w:spacing w:after="0" w:line="240" w:lineRule="auto"/>
              <w:rPr>
                <w:rFonts w:ascii="Times New Roman" w:hAnsi="Times New Roman" w:eastAsia="Times New Roman"/>
                <w:color w:val="FF0000"/>
                <w:sz w:val="24"/>
                <w:szCs w:val="24"/>
                <w:lang w:eastAsia="hr-HR"/>
              </w:rPr>
            </w:pPr>
            <w:r>
              <w:rPr>
                <w:rFonts w:ascii="Times New Roman" w:hAnsi="Times New Roman" w:eastAsia="Times New Roman"/>
                <w:sz w:val="24"/>
                <w:szCs w:val="24"/>
                <w:lang w:eastAsia="hr-HR"/>
              </w:rPr>
              <w:t>Upis u registar neprofitnih organizacija ili drugi odgovarajući registar</w:t>
            </w:r>
          </w:p>
        </w:tc>
        <w:tc>
          <w:tcPr>
            <w:tcW w:w="5377" w:type="dxa"/>
            <w:shd w:val="clear" w:color="000000" w:fill="FFFFFF"/>
            <w:vAlign w:val="center"/>
          </w:tcPr>
          <w:p w14:paraId="0A2F644F">
            <w:pPr>
              <w:spacing w:after="0" w:line="240" w:lineRule="auto"/>
              <w:rPr>
                <w:rFonts w:ascii="Times New Roman" w:hAnsi="Times New Roman" w:eastAsia="Times New Roman"/>
                <w:sz w:val="24"/>
                <w:szCs w:val="24"/>
                <w:lang w:eastAsia="hr-HR"/>
              </w:rPr>
            </w:pPr>
          </w:p>
          <w:p w14:paraId="5727D2EF">
            <w:pPr>
              <w:spacing w:after="0" w:line="240" w:lineRule="auto"/>
              <w:rPr>
                <w:rFonts w:ascii="Times New Roman" w:hAnsi="Times New Roman" w:eastAsia="Times New Roman"/>
                <w:sz w:val="24"/>
                <w:szCs w:val="24"/>
                <w:lang w:eastAsia="hr-HR"/>
              </w:rPr>
            </w:pPr>
            <w:r>
              <w:rPr>
                <w:rFonts w:ascii="Times New Roman" w:hAnsi="Times New Roman" w:eastAsia="Times New Roman"/>
                <w:sz w:val="24"/>
                <w:szCs w:val="24"/>
                <w:lang w:eastAsia="hr-HR"/>
              </w:rPr>
              <w:t>Izvadak (ili e-ispis) iz Registra neprofitnih organizacija (RNO) - za udruge i druge neprofitne organizacije, ne stariji od šezdeset (60) dana od dana  objave Javnog poziva/Izvadak (ili e-ispis) iz Sudskog registra - za ustanove, ne stariji od šezdeset (60) dana od dana objave Javnog poziva</w:t>
            </w:r>
          </w:p>
          <w:p w14:paraId="2DD4096B">
            <w:pPr>
              <w:spacing w:after="0" w:line="240" w:lineRule="auto"/>
              <w:rPr>
                <w:rFonts w:ascii="Times New Roman" w:hAnsi="Times New Roman" w:eastAsia="Times New Roman"/>
                <w:sz w:val="24"/>
                <w:szCs w:val="24"/>
                <w:lang w:eastAsia="hr-HR"/>
              </w:rPr>
            </w:pPr>
          </w:p>
        </w:tc>
      </w:tr>
      <w:tr w14:paraId="4F162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567" w:type="dxa"/>
            <w:vAlign w:val="center"/>
          </w:tcPr>
          <w:p w14:paraId="7BE7BC10">
            <w:pPr>
              <w:spacing w:after="0" w:line="240" w:lineRule="auto"/>
              <w:rPr>
                <w:rFonts w:ascii="Times New Roman" w:hAnsi="Times New Roman" w:eastAsia="Times New Roman"/>
                <w:sz w:val="24"/>
                <w:szCs w:val="24"/>
                <w:lang w:eastAsia="hr-HR"/>
              </w:rPr>
            </w:pPr>
            <w:r>
              <w:rPr>
                <w:rFonts w:ascii="Times New Roman" w:hAnsi="Times New Roman" w:eastAsia="Times New Roman"/>
                <w:sz w:val="24"/>
                <w:szCs w:val="24"/>
                <w:lang w:eastAsia="hr-HR"/>
              </w:rPr>
              <w:t>2.</w:t>
            </w:r>
          </w:p>
        </w:tc>
        <w:tc>
          <w:tcPr>
            <w:tcW w:w="4121" w:type="dxa"/>
            <w:shd w:val="clear" w:color="000000" w:fill="FFFFFF"/>
            <w:vAlign w:val="center"/>
          </w:tcPr>
          <w:p w14:paraId="04269B17">
            <w:pPr>
              <w:spacing w:after="0" w:line="240" w:lineRule="auto"/>
              <w:rPr>
                <w:rFonts w:ascii="Times New Roman" w:hAnsi="Times New Roman" w:eastAsia="Times New Roman"/>
                <w:sz w:val="24"/>
                <w:szCs w:val="24"/>
                <w:vertAlign w:val="superscript"/>
                <w:lang w:eastAsia="hr-HR"/>
              </w:rPr>
            </w:pPr>
            <w:r>
              <w:rPr>
                <w:rFonts w:ascii="Times New Roman" w:hAnsi="Times New Roman" w:eastAsia="Times New Roman"/>
                <w:sz w:val="24"/>
                <w:szCs w:val="24"/>
                <w:lang w:eastAsia="hr-HR"/>
              </w:rPr>
              <w:t xml:space="preserve">Protiv </w:t>
            </w:r>
            <w:r>
              <w:rPr>
                <w:rFonts w:ascii="Times New Roman" w:hAnsi="Times New Roman" w:eastAsia="Times New Roman"/>
                <w:b/>
                <w:bCs/>
                <w:sz w:val="24"/>
                <w:szCs w:val="24"/>
                <w:lang w:eastAsia="hr-HR"/>
              </w:rPr>
              <w:t>prijavitelja</w:t>
            </w:r>
            <w:r>
              <w:rPr>
                <w:rFonts w:ascii="Times New Roman" w:hAnsi="Times New Roman" w:eastAsia="Times New Roman"/>
                <w:sz w:val="24"/>
                <w:szCs w:val="24"/>
                <w:lang w:eastAsia="hr-HR"/>
              </w:rPr>
              <w:t xml:space="preserve"> (udruge/ustanove) se ne vodi kazneni postupak</w:t>
            </w:r>
          </w:p>
        </w:tc>
        <w:tc>
          <w:tcPr>
            <w:tcW w:w="5377" w:type="dxa"/>
            <w:shd w:val="clear" w:color="000000" w:fill="FFFFFF"/>
            <w:vAlign w:val="center"/>
          </w:tcPr>
          <w:p w14:paraId="58187CC6">
            <w:pPr>
              <w:spacing w:after="0" w:line="240" w:lineRule="auto"/>
              <w:rPr>
                <w:rFonts w:ascii="Times New Roman" w:hAnsi="Times New Roman" w:eastAsia="Times New Roman"/>
                <w:sz w:val="24"/>
                <w:szCs w:val="24"/>
                <w:lang w:eastAsia="hr-HR"/>
              </w:rPr>
            </w:pPr>
          </w:p>
          <w:p w14:paraId="3E779358">
            <w:pPr>
              <w:spacing w:after="0" w:line="240" w:lineRule="auto"/>
              <w:rPr>
                <w:rFonts w:ascii="Times New Roman" w:hAnsi="Times New Roman" w:eastAsia="Times New Roman"/>
                <w:sz w:val="24"/>
                <w:szCs w:val="24"/>
                <w:lang w:eastAsia="hr-HR"/>
              </w:rPr>
            </w:pPr>
            <w:r>
              <w:rPr>
                <w:rFonts w:ascii="Times New Roman" w:hAnsi="Times New Roman" w:eastAsia="Times New Roman"/>
                <w:sz w:val="24"/>
                <w:szCs w:val="24"/>
                <w:lang w:eastAsia="hr-HR"/>
              </w:rPr>
              <w:t xml:space="preserve">Uvjerenje nadležnog suda da se protiv prijavitelja (udruge/ustanove)  ne vodi kazneni postupak, ne starije od šezdeset (60) dana od dana objave Javnog poziva </w:t>
            </w:r>
          </w:p>
          <w:p w14:paraId="0C5C6187">
            <w:pPr>
              <w:spacing w:after="0" w:line="240" w:lineRule="auto"/>
              <w:rPr>
                <w:rFonts w:ascii="Times New Roman" w:hAnsi="Times New Roman" w:eastAsia="Times New Roman"/>
                <w:sz w:val="24"/>
                <w:szCs w:val="24"/>
                <w:lang w:eastAsia="hr-HR"/>
              </w:rPr>
            </w:pPr>
          </w:p>
        </w:tc>
      </w:tr>
      <w:tr w14:paraId="22578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567" w:type="dxa"/>
            <w:vAlign w:val="center"/>
          </w:tcPr>
          <w:p w14:paraId="1F0690B5">
            <w:pPr>
              <w:spacing w:after="0" w:line="240" w:lineRule="auto"/>
              <w:rPr>
                <w:rFonts w:ascii="Times New Roman" w:hAnsi="Times New Roman" w:eastAsia="Times New Roman"/>
                <w:sz w:val="24"/>
                <w:szCs w:val="24"/>
                <w:lang w:eastAsia="hr-HR"/>
              </w:rPr>
            </w:pPr>
            <w:r>
              <w:rPr>
                <w:rFonts w:ascii="Times New Roman" w:hAnsi="Times New Roman" w:eastAsia="Times New Roman"/>
                <w:sz w:val="24"/>
                <w:szCs w:val="24"/>
                <w:lang w:eastAsia="hr-HR"/>
              </w:rPr>
              <w:t>3.</w:t>
            </w:r>
          </w:p>
        </w:tc>
        <w:tc>
          <w:tcPr>
            <w:tcW w:w="4121" w:type="dxa"/>
            <w:shd w:val="clear" w:color="000000" w:fill="FFFFFF"/>
            <w:vAlign w:val="center"/>
          </w:tcPr>
          <w:p w14:paraId="59EA3E47">
            <w:pPr>
              <w:spacing w:after="0" w:line="240" w:lineRule="auto"/>
              <w:rPr>
                <w:rFonts w:ascii="Times New Roman" w:hAnsi="Times New Roman" w:eastAsia="Times New Roman"/>
                <w:sz w:val="24"/>
                <w:szCs w:val="24"/>
                <w:vertAlign w:val="superscript"/>
                <w:lang w:eastAsia="hr-HR"/>
              </w:rPr>
            </w:pPr>
            <w:r>
              <w:rPr>
                <w:rFonts w:ascii="Times New Roman" w:hAnsi="Times New Roman" w:eastAsia="Times New Roman"/>
                <w:sz w:val="24"/>
                <w:szCs w:val="24"/>
                <w:lang w:eastAsia="hr-HR"/>
              </w:rPr>
              <w:t xml:space="preserve">Protiv osobe </w:t>
            </w:r>
            <w:r>
              <w:rPr>
                <w:rFonts w:ascii="Times New Roman" w:hAnsi="Times New Roman" w:eastAsia="Times New Roman"/>
                <w:b/>
                <w:bCs/>
                <w:sz w:val="24"/>
                <w:szCs w:val="24"/>
                <w:lang w:eastAsia="hr-HR"/>
              </w:rPr>
              <w:t>ovlaštene za zastupanje prijavitelja</w:t>
            </w:r>
            <w:r>
              <w:rPr>
                <w:rFonts w:ascii="Times New Roman" w:hAnsi="Times New Roman" w:eastAsia="Times New Roman"/>
                <w:sz w:val="24"/>
                <w:szCs w:val="24"/>
                <w:lang w:eastAsia="hr-HR"/>
              </w:rPr>
              <w:t xml:space="preserve"> (udruge/ustanove) se ne vodi kazneni postupak </w:t>
            </w:r>
          </w:p>
        </w:tc>
        <w:tc>
          <w:tcPr>
            <w:tcW w:w="5377" w:type="dxa"/>
            <w:shd w:val="clear" w:color="000000" w:fill="FFFFFF"/>
            <w:vAlign w:val="center"/>
          </w:tcPr>
          <w:p w14:paraId="0A64116C">
            <w:pPr>
              <w:spacing w:after="0" w:line="240" w:lineRule="auto"/>
              <w:rPr>
                <w:rFonts w:ascii="Times New Roman" w:hAnsi="Times New Roman" w:eastAsia="Times New Roman"/>
                <w:sz w:val="24"/>
                <w:szCs w:val="24"/>
                <w:lang w:eastAsia="hr-HR"/>
              </w:rPr>
            </w:pPr>
          </w:p>
          <w:p w14:paraId="3BFD17BA">
            <w:pPr>
              <w:spacing w:after="0" w:line="240" w:lineRule="auto"/>
              <w:rPr>
                <w:rFonts w:ascii="Times New Roman" w:hAnsi="Times New Roman" w:eastAsia="Times New Roman"/>
                <w:sz w:val="24"/>
                <w:szCs w:val="24"/>
                <w:lang w:eastAsia="hr-HR"/>
              </w:rPr>
            </w:pPr>
            <w:r>
              <w:rPr>
                <w:rFonts w:ascii="Times New Roman" w:hAnsi="Times New Roman" w:eastAsia="Times New Roman"/>
                <w:sz w:val="24"/>
                <w:szCs w:val="24"/>
                <w:lang w:eastAsia="hr-HR"/>
              </w:rPr>
              <w:t xml:space="preserve">Uvjerenje nadležnog suda da se protiv osobe ovlaštene za zastupanje prijavitelja (udruge/ustanove) ne vodi kazneni postupak, ne starije od šezdeset (60) dana od dana objave Javnog poziva </w:t>
            </w:r>
          </w:p>
          <w:p w14:paraId="77841CF3">
            <w:pPr>
              <w:spacing w:after="0" w:line="240" w:lineRule="auto"/>
              <w:rPr>
                <w:rFonts w:ascii="Times New Roman" w:hAnsi="Times New Roman" w:eastAsia="Times New Roman"/>
                <w:sz w:val="24"/>
                <w:szCs w:val="24"/>
                <w:lang w:eastAsia="hr-HR"/>
              </w:rPr>
            </w:pPr>
          </w:p>
        </w:tc>
      </w:tr>
      <w:tr w14:paraId="3E18E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567" w:type="dxa"/>
            <w:vAlign w:val="center"/>
          </w:tcPr>
          <w:p w14:paraId="124C3FDB">
            <w:pPr>
              <w:spacing w:after="0" w:line="240" w:lineRule="auto"/>
              <w:rPr>
                <w:rFonts w:ascii="Times New Roman" w:hAnsi="Times New Roman" w:eastAsia="Times New Roman"/>
                <w:sz w:val="24"/>
                <w:szCs w:val="24"/>
                <w:lang w:eastAsia="hr-HR"/>
              </w:rPr>
            </w:pPr>
            <w:r>
              <w:rPr>
                <w:rFonts w:ascii="Times New Roman" w:hAnsi="Times New Roman" w:eastAsia="Times New Roman"/>
                <w:sz w:val="24"/>
                <w:szCs w:val="24"/>
                <w:lang w:eastAsia="hr-HR"/>
              </w:rPr>
              <w:t>4.</w:t>
            </w:r>
          </w:p>
        </w:tc>
        <w:tc>
          <w:tcPr>
            <w:tcW w:w="4121" w:type="dxa"/>
            <w:shd w:val="clear" w:color="000000" w:fill="FFFFFF"/>
            <w:vAlign w:val="center"/>
          </w:tcPr>
          <w:p w14:paraId="123A60C5">
            <w:pPr>
              <w:spacing w:after="0" w:line="240" w:lineRule="auto"/>
              <w:rPr>
                <w:rFonts w:ascii="Times New Roman" w:hAnsi="Times New Roman" w:eastAsia="Times New Roman"/>
                <w:sz w:val="24"/>
                <w:szCs w:val="24"/>
                <w:lang w:eastAsia="hr-HR"/>
              </w:rPr>
            </w:pPr>
            <w:r>
              <w:rPr>
                <w:rFonts w:ascii="Times New Roman" w:hAnsi="Times New Roman" w:eastAsia="Times New Roman"/>
                <w:sz w:val="24"/>
                <w:szCs w:val="24"/>
                <w:lang w:eastAsia="hr-HR"/>
              </w:rPr>
              <w:t>Nema dugovanja prema državnom proračunu</w:t>
            </w:r>
            <w:r>
              <w:rPr>
                <w:rFonts w:ascii="Times New Roman" w:hAnsi="Times New Roman" w:eastAsia="Times New Roman"/>
                <w:sz w:val="24"/>
                <w:szCs w:val="24"/>
                <w:lang w:eastAsia="hr-HR"/>
              </w:rPr>
              <w:tab/>
            </w:r>
          </w:p>
        </w:tc>
        <w:tc>
          <w:tcPr>
            <w:tcW w:w="5377" w:type="dxa"/>
            <w:shd w:val="clear" w:color="000000" w:fill="FFFFFF"/>
            <w:vAlign w:val="center"/>
          </w:tcPr>
          <w:p w14:paraId="649F1F7C">
            <w:pPr>
              <w:spacing w:after="0" w:line="240" w:lineRule="auto"/>
              <w:rPr>
                <w:rFonts w:ascii="Times New Roman" w:hAnsi="Times New Roman" w:eastAsia="Times New Roman"/>
                <w:sz w:val="24"/>
                <w:szCs w:val="24"/>
                <w:lang w:eastAsia="hr-HR"/>
              </w:rPr>
            </w:pPr>
          </w:p>
          <w:p w14:paraId="4787C18C">
            <w:pPr>
              <w:spacing w:after="0" w:line="240" w:lineRule="auto"/>
              <w:rPr>
                <w:rFonts w:ascii="Times New Roman" w:hAnsi="Times New Roman" w:eastAsia="Times New Roman"/>
                <w:sz w:val="24"/>
                <w:szCs w:val="24"/>
                <w:lang w:eastAsia="hr-HR"/>
              </w:rPr>
            </w:pPr>
            <w:r>
              <w:rPr>
                <w:rFonts w:ascii="Times New Roman" w:hAnsi="Times New Roman" w:eastAsia="Times New Roman"/>
                <w:sz w:val="24"/>
                <w:szCs w:val="24"/>
                <w:lang w:eastAsia="hr-HR"/>
              </w:rPr>
              <w:t xml:space="preserve">Potvrda Porezne uprave o stanju poreznog duga, ne starija od šezdeset (60) dana od dana objave Javnog poziva </w:t>
            </w:r>
          </w:p>
        </w:tc>
      </w:tr>
      <w:tr w14:paraId="337BB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7" w:type="dxa"/>
            <w:vAlign w:val="center"/>
          </w:tcPr>
          <w:p w14:paraId="5C8D4240">
            <w:pPr>
              <w:spacing w:after="0" w:line="240" w:lineRule="auto"/>
              <w:rPr>
                <w:rFonts w:ascii="Times New Roman" w:hAnsi="Times New Roman" w:eastAsia="Times New Roman"/>
                <w:sz w:val="24"/>
                <w:szCs w:val="24"/>
                <w:lang w:eastAsia="hr-HR"/>
              </w:rPr>
            </w:pPr>
            <w:r>
              <w:rPr>
                <w:rFonts w:ascii="Times New Roman" w:hAnsi="Times New Roman" w:eastAsia="Times New Roman"/>
                <w:sz w:val="24"/>
                <w:szCs w:val="24"/>
                <w:lang w:eastAsia="hr-HR"/>
              </w:rPr>
              <w:t>5.</w:t>
            </w:r>
          </w:p>
        </w:tc>
        <w:tc>
          <w:tcPr>
            <w:tcW w:w="4121" w:type="dxa"/>
            <w:shd w:val="clear" w:color="000000" w:fill="FFFFFF"/>
            <w:vAlign w:val="center"/>
          </w:tcPr>
          <w:p w14:paraId="3233876A">
            <w:pPr>
              <w:spacing w:after="0" w:line="240" w:lineRule="auto"/>
              <w:rPr>
                <w:rFonts w:ascii="Times New Roman" w:hAnsi="Times New Roman" w:eastAsia="Times New Roman"/>
                <w:sz w:val="24"/>
                <w:szCs w:val="24"/>
                <w:lang w:eastAsia="hr-HR"/>
              </w:rPr>
            </w:pPr>
            <w:r>
              <w:rPr>
                <w:rFonts w:ascii="Times New Roman" w:hAnsi="Times New Roman" w:eastAsia="Times New Roman"/>
                <w:sz w:val="24"/>
                <w:szCs w:val="24"/>
                <w:lang w:eastAsia="hr-HR"/>
              </w:rPr>
              <w:t>Predračun i/ili ponuda i/ili troškovnik i sl.</w:t>
            </w:r>
          </w:p>
        </w:tc>
        <w:tc>
          <w:tcPr>
            <w:tcW w:w="5377" w:type="dxa"/>
            <w:shd w:val="clear" w:color="000000" w:fill="FFFFFF"/>
            <w:vAlign w:val="center"/>
          </w:tcPr>
          <w:p w14:paraId="7DDEB224">
            <w:pPr>
              <w:spacing w:after="0" w:line="240" w:lineRule="auto"/>
              <w:rPr>
                <w:rFonts w:ascii="Times New Roman" w:hAnsi="Times New Roman" w:eastAsia="Times New Roman"/>
                <w:bCs/>
                <w:sz w:val="24"/>
                <w:szCs w:val="24"/>
                <w:lang w:eastAsia="hr-HR"/>
              </w:rPr>
            </w:pPr>
          </w:p>
          <w:p w14:paraId="21F7311F">
            <w:pPr>
              <w:spacing w:after="0" w:line="240" w:lineRule="auto"/>
              <w:rPr>
                <w:rFonts w:ascii="Times New Roman" w:hAnsi="Times New Roman" w:eastAsia="Times New Roman"/>
                <w:bCs/>
                <w:sz w:val="24"/>
                <w:szCs w:val="24"/>
                <w:lang w:eastAsia="hr-HR"/>
              </w:rPr>
            </w:pPr>
            <w:r>
              <w:rPr>
                <w:rFonts w:ascii="Times New Roman" w:hAnsi="Times New Roman" w:eastAsia="Times New Roman"/>
                <w:bCs/>
                <w:sz w:val="24"/>
                <w:szCs w:val="24"/>
                <w:lang w:eastAsia="hr-HR"/>
              </w:rPr>
              <w:t xml:space="preserve">Preslike predračuna i/ili ponude i/ili troškovnika i sl. na ime prijavitelja. </w:t>
            </w:r>
          </w:p>
          <w:p w14:paraId="3DFC277F">
            <w:pPr>
              <w:spacing w:after="0" w:line="240" w:lineRule="auto"/>
              <w:rPr>
                <w:rFonts w:ascii="Times New Roman" w:hAnsi="Times New Roman" w:eastAsia="Times New Roman"/>
                <w:bCs/>
                <w:sz w:val="24"/>
                <w:szCs w:val="24"/>
                <w:u w:val="single"/>
                <w:lang w:eastAsia="hr-HR"/>
              </w:rPr>
            </w:pPr>
            <w:r>
              <w:rPr>
                <w:rFonts w:ascii="Times New Roman" w:hAnsi="Times New Roman" w:eastAsia="Times New Roman"/>
                <w:bCs/>
                <w:sz w:val="24"/>
                <w:szCs w:val="24"/>
                <w:u w:val="single"/>
                <w:lang w:eastAsia="hr-HR"/>
              </w:rPr>
              <w:t>Za troškove nakon objave Javnog poziva.</w:t>
            </w:r>
          </w:p>
          <w:p w14:paraId="6364F79A">
            <w:pPr>
              <w:spacing w:after="0" w:line="240" w:lineRule="auto"/>
              <w:rPr>
                <w:rFonts w:ascii="Times New Roman" w:hAnsi="Times New Roman" w:eastAsia="Times New Roman"/>
                <w:bCs/>
                <w:sz w:val="24"/>
                <w:szCs w:val="24"/>
                <w:lang w:eastAsia="hr-HR"/>
              </w:rPr>
            </w:pPr>
          </w:p>
        </w:tc>
      </w:tr>
      <w:tr w14:paraId="6C7A3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567" w:type="dxa"/>
            <w:vAlign w:val="center"/>
          </w:tcPr>
          <w:p w14:paraId="2C45DED4">
            <w:pPr>
              <w:spacing w:after="0" w:line="240" w:lineRule="auto"/>
              <w:rPr>
                <w:rFonts w:ascii="Times New Roman" w:hAnsi="Times New Roman" w:eastAsia="Times New Roman"/>
                <w:sz w:val="24"/>
                <w:szCs w:val="24"/>
                <w:lang w:eastAsia="hr-HR"/>
              </w:rPr>
            </w:pPr>
            <w:r>
              <w:rPr>
                <w:rFonts w:ascii="Times New Roman" w:hAnsi="Times New Roman" w:eastAsia="Times New Roman"/>
                <w:sz w:val="24"/>
                <w:szCs w:val="24"/>
                <w:lang w:eastAsia="hr-HR"/>
              </w:rPr>
              <w:t>6.</w:t>
            </w:r>
          </w:p>
        </w:tc>
        <w:tc>
          <w:tcPr>
            <w:tcW w:w="4121" w:type="dxa"/>
            <w:shd w:val="clear" w:color="000000" w:fill="FFFFFF"/>
            <w:vAlign w:val="center"/>
          </w:tcPr>
          <w:p w14:paraId="0F8231D3">
            <w:pPr>
              <w:spacing w:after="0" w:line="240" w:lineRule="auto"/>
              <w:rPr>
                <w:rFonts w:ascii="Times New Roman" w:hAnsi="Times New Roman" w:eastAsia="Times New Roman"/>
                <w:sz w:val="24"/>
                <w:szCs w:val="24"/>
                <w:lang w:eastAsia="hr-HR"/>
              </w:rPr>
            </w:pPr>
            <w:r>
              <w:rPr>
                <w:rFonts w:ascii="Times New Roman" w:hAnsi="Times New Roman" w:eastAsia="Times New Roman"/>
                <w:sz w:val="24"/>
                <w:szCs w:val="24"/>
                <w:lang w:eastAsia="hr-HR"/>
              </w:rPr>
              <w:t>Račun i potvrda o plaćanju troška za provedene aktivnosti – prema specifikaciji provedenih ulaganja</w:t>
            </w:r>
          </w:p>
        </w:tc>
        <w:tc>
          <w:tcPr>
            <w:tcW w:w="5377" w:type="dxa"/>
            <w:shd w:val="clear" w:color="000000" w:fill="FFFFFF"/>
            <w:vAlign w:val="center"/>
          </w:tcPr>
          <w:p w14:paraId="6AAC6275">
            <w:pPr>
              <w:spacing w:after="0" w:line="240" w:lineRule="auto"/>
              <w:jc w:val="both"/>
              <w:rPr>
                <w:rFonts w:ascii="Times New Roman" w:hAnsi="Times New Roman" w:eastAsia="Times New Roman"/>
                <w:bCs/>
                <w:sz w:val="24"/>
                <w:szCs w:val="24"/>
                <w:lang w:eastAsia="hr-HR"/>
              </w:rPr>
            </w:pPr>
            <w:r>
              <w:rPr>
                <w:rFonts w:ascii="Times New Roman" w:hAnsi="Times New Roman"/>
                <w:sz w:val="24"/>
                <w:szCs w:val="24"/>
              </w:rPr>
              <w:t xml:space="preserve">Preslika računa ispostavljenog na prijavitelja plaćenog s poslovnog računa prijavitelja (uz potvrdu banke o izvršenom plaćanju ili bankovni izvod o izvršenom plaćanju). U slučaju ugovora - ugovor sklopljen sa prijaviteljem (uz potvrdu banke o izvršenom plaćanju ili bankovni izvod o izvršenom plaćanju s poslovnog računa prijavitelja). U slučaju kredita - potvrdu/-e banke o izvršenom plaćanju ili bankovni izvod/-e o izvršenom plaćanju. </w:t>
            </w:r>
          </w:p>
          <w:p w14:paraId="39703C9B">
            <w:pPr>
              <w:spacing w:after="0" w:line="240" w:lineRule="auto"/>
              <w:jc w:val="both"/>
              <w:rPr>
                <w:rFonts w:ascii="Times New Roman" w:hAnsi="Times New Roman" w:eastAsia="Times New Roman"/>
                <w:bCs/>
                <w:sz w:val="24"/>
                <w:szCs w:val="24"/>
                <w:u w:val="single"/>
                <w:lang w:eastAsia="hr-HR"/>
              </w:rPr>
            </w:pPr>
            <w:r>
              <w:rPr>
                <w:rFonts w:ascii="Times New Roman" w:hAnsi="Times New Roman" w:eastAsia="Times New Roman"/>
                <w:bCs/>
                <w:sz w:val="24"/>
                <w:szCs w:val="24"/>
                <w:u w:val="single"/>
                <w:lang w:eastAsia="hr-HR"/>
              </w:rPr>
              <w:t xml:space="preserve">Za provedene aktivnosti prije objave Javnog poziva. </w:t>
            </w:r>
          </w:p>
          <w:p w14:paraId="10BE3815">
            <w:pPr>
              <w:spacing w:after="0" w:line="240" w:lineRule="auto"/>
              <w:jc w:val="both"/>
              <w:rPr>
                <w:rFonts w:ascii="Times New Roman" w:hAnsi="Times New Roman" w:eastAsia="Times New Roman"/>
                <w:bCs/>
                <w:sz w:val="24"/>
                <w:szCs w:val="24"/>
                <w:u w:val="single"/>
                <w:lang w:eastAsia="hr-HR"/>
              </w:rPr>
            </w:pPr>
          </w:p>
        </w:tc>
      </w:tr>
      <w:tr w14:paraId="606A7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67" w:type="dxa"/>
            <w:vAlign w:val="center"/>
          </w:tcPr>
          <w:p w14:paraId="284D1860">
            <w:pPr>
              <w:spacing w:after="0" w:line="240" w:lineRule="auto"/>
              <w:rPr>
                <w:rFonts w:ascii="Times New Roman" w:hAnsi="Times New Roman" w:eastAsia="Times New Roman"/>
                <w:sz w:val="24"/>
                <w:szCs w:val="24"/>
                <w:lang w:eastAsia="hr-HR"/>
              </w:rPr>
            </w:pPr>
            <w:r>
              <w:rPr>
                <w:rFonts w:ascii="Times New Roman" w:hAnsi="Times New Roman" w:eastAsia="Times New Roman"/>
                <w:sz w:val="24"/>
                <w:szCs w:val="24"/>
                <w:lang w:eastAsia="hr-HR"/>
              </w:rPr>
              <w:t>7.</w:t>
            </w:r>
          </w:p>
        </w:tc>
        <w:tc>
          <w:tcPr>
            <w:tcW w:w="4121" w:type="dxa"/>
            <w:shd w:val="clear" w:color="000000" w:fill="FFFFFF"/>
            <w:vAlign w:val="center"/>
          </w:tcPr>
          <w:p w14:paraId="30ACF2EB">
            <w:pPr>
              <w:spacing w:after="0" w:line="240" w:lineRule="auto"/>
              <w:rPr>
                <w:rFonts w:ascii="Times New Roman" w:hAnsi="Times New Roman" w:eastAsia="Times New Roman"/>
                <w:sz w:val="24"/>
                <w:szCs w:val="24"/>
                <w:lang w:eastAsia="hr-HR"/>
              </w:rPr>
            </w:pPr>
            <w:r>
              <w:rPr>
                <w:rFonts w:ascii="Times New Roman" w:hAnsi="Times New Roman" w:eastAsia="Times New Roman"/>
                <w:sz w:val="24"/>
                <w:szCs w:val="24"/>
                <w:lang w:eastAsia="hr-HR"/>
              </w:rPr>
              <w:t>IBAN</w:t>
            </w:r>
          </w:p>
        </w:tc>
        <w:tc>
          <w:tcPr>
            <w:tcW w:w="5377" w:type="dxa"/>
            <w:shd w:val="clear" w:color="000000" w:fill="FFFFFF"/>
            <w:vAlign w:val="center"/>
          </w:tcPr>
          <w:p w14:paraId="75EFE541">
            <w:pPr>
              <w:spacing w:after="0" w:line="240" w:lineRule="auto"/>
              <w:jc w:val="both"/>
              <w:rPr>
                <w:rFonts w:ascii="Times New Roman" w:hAnsi="Times New Roman"/>
                <w:bCs/>
                <w:sz w:val="24"/>
                <w:szCs w:val="24"/>
              </w:rPr>
            </w:pPr>
          </w:p>
          <w:p w14:paraId="0F3ADE2F">
            <w:pPr>
              <w:spacing w:after="0" w:line="240" w:lineRule="auto"/>
              <w:jc w:val="both"/>
              <w:rPr>
                <w:rFonts w:ascii="Times New Roman" w:hAnsi="Times New Roman" w:eastAsia="Times New Roman"/>
                <w:bCs/>
                <w:sz w:val="24"/>
                <w:szCs w:val="24"/>
                <w:lang w:eastAsia="hr-HR"/>
              </w:rPr>
            </w:pPr>
            <w:r>
              <w:rPr>
                <w:rFonts w:ascii="Times New Roman" w:hAnsi="Times New Roman"/>
                <w:bCs/>
                <w:sz w:val="24"/>
                <w:szCs w:val="24"/>
              </w:rPr>
              <w:t>Ispis banke o poslovnom računu s pripadajućim IBAN brojem</w:t>
            </w:r>
          </w:p>
        </w:tc>
      </w:tr>
      <w:tr w14:paraId="23E13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trPr>
        <w:tc>
          <w:tcPr>
            <w:tcW w:w="567" w:type="dxa"/>
            <w:vAlign w:val="center"/>
          </w:tcPr>
          <w:p w14:paraId="6F4C681D">
            <w:pPr>
              <w:spacing w:after="0" w:line="240" w:lineRule="auto"/>
              <w:rPr>
                <w:rFonts w:ascii="Times New Roman" w:hAnsi="Times New Roman" w:eastAsia="Times New Roman"/>
                <w:sz w:val="24"/>
                <w:szCs w:val="24"/>
                <w:lang w:eastAsia="hr-HR"/>
              </w:rPr>
            </w:pPr>
            <w:bookmarkStart w:id="18" w:name="_Hlk516655692"/>
            <w:r>
              <w:rPr>
                <w:rFonts w:ascii="Times New Roman" w:hAnsi="Times New Roman" w:eastAsia="Times New Roman"/>
                <w:sz w:val="24"/>
                <w:szCs w:val="24"/>
                <w:lang w:eastAsia="hr-HR"/>
              </w:rPr>
              <w:t>8.</w:t>
            </w:r>
          </w:p>
        </w:tc>
        <w:tc>
          <w:tcPr>
            <w:tcW w:w="4121" w:type="dxa"/>
            <w:tcBorders>
              <w:top w:val="single" w:color="auto" w:sz="4" w:space="0"/>
              <w:left w:val="single" w:color="auto" w:sz="4" w:space="0"/>
              <w:bottom w:val="single" w:color="auto" w:sz="4" w:space="0"/>
              <w:right w:val="single" w:color="auto" w:sz="4" w:space="0"/>
            </w:tcBorders>
            <w:shd w:val="clear" w:color="000000" w:fill="FFFFFF"/>
            <w:vAlign w:val="center"/>
          </w:tcPr>
          <w:p w14:paraId="61430A8F">
            <w:pPr>
              <w:spacing w:after="0" w:line="240" w:lineRule="auto"/>
              <w:rPr>
                <w:rFonts w:ascii="Times New Roman" w:hAnsi="Times New Roman"/>
                <w:sz w:val="24"/>
                <w:szCs w:val="24"/>
              </w:rPr>
            </w:pPr>
          </w:p>
          <w:p w14:paraId="63F8EAAF">
            <w:pPr>
              <w:spacing w:after="0" w:line="240" w:lineRule="auto"/>
              <w:rPr>
                <w:rFonts w:ascii="Times New Roman" w:hAnsi="Times New Roman"/>
                <w:sz w:val="24"/>
                <w:szCs w:val="24"/>
              </w:rPr>
            </w:pPr>
            <w:r>
              <w:rPr>
                <w:rFonts w:ascii="Times New Roman" w:hAnsi="Times New Roman"/>
                <w:sz w:val="24"/>
                <w:szCs w:val="24"/>
              </w:rPr>
              <w:t xml:space="preserve">Vlasnički list ili Ugovor o najmu (za lovačke domove i/ili objekt za obradu i skladištenje odstrijeljene divljači) </w:t>
            </w:r>
            <w:r>
              <w:rPr>
                <w:rFonts w:ascii="Times New Roman" w:hAnsi="Times New Roman"/>
                <w:b/>
                <w:bCs/>
                <w:sz w:val="24"/>
                <w:szCs w:val="24"/>
              </w:rPr>
              <w:t>za Aktivnosti:  1.1., 1.2.</w:t>
            </w:r>
          </w:p>
        </w:tc>
        <w:tc>
          <w:tcPr>
            <w:tcW w:w="5377" w:type="dxa"/>
            <w:tcBorders>
              <w:top w:val="single" w:color="auto" w:sz="4" w:space="0"/>
              <w:left w:val="single" w:color="auto" w:sz="4" w:space="0"/>
              <w:bottom w:val="single" w:color="auto" w:sz="4" w:space="0"/>
              <w:right w:val="single" w:color="000000" w:sz="4" w:space="0"/>
            </w:tcBorders>
            <w:shd w:val="clear" w:color="000000" w:fill="FFFFFF"/>
            <w:vAlign w:val="center"/>
          </w:tcPr>
          <w:p w14:paraId="5F503A80">
            <w:pPr>
              <w:spacing w:after="0" w:line="240" w:lineRule="auto"/>
              <w:rPr>
                <w:rFonts w:ascii="Times New Roman" w:hAnsi="Times New Roman"/>
                <w:sz w:val="24"/>
                <w:szCs w:val="24"/>
              </w:rPr>
            </w:pPr>
            <w:r>
              <w:rPr>
                <w:rFonts w:ascii="Times New Roman" w:hAnsi="Times New Roman"/>
                <w:sz w:val="24"/>
                <w:szCs w:val="24"/>
              </w:rPr>
              <w:t>Preslika Vlasničkog lista ili Ugovora o najmu  najmanje na pet (5) godina ili dokaz da je objekt izgrađen prije 1968. godine</w:t>
            </w:r>
          </w:p>
        </w:tc>
      </w:tr>
      <w:tr w14:paraId="54F40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trPr>
        <w:tc>
          <w:tcPr>
            <w:tcW w:w="567" w:type="dxa"/>
            <w:vAlign w:val="center"/>
          </w:tcPr>
          <w:p w14:paraId="11C15EFB">
            <w:pPr>
              <w:spacing w:after="0" w:line="240" w:lineRule="auto"/>
              <w:rPr>
                <w:rFonts w:ascii="Times New Roman" w:hAnsi="Times New Roman" w:eastAsia="Times New Roman"/>
                <w:sz w:val="24"/>
                <w:szCs w:val="24"/>
                <w:lang w:eastAsia="hr-HR"/>
              </w:rPr>
            </w:pPr>
            <w:r>
              <w:rPr>
                <w:rFonts w:ascii="Times New Roman" w:hAnsi="Times New Roman" w:eastAsia="Times New Roman"/>
                <w:sz w:val="24"/>
                <w:szCs w:val="24"/>
                <w:lang w:eastAsia="hr-HR"/>
              </w:rPr>
              <w:t>9.</w:t>
            </w:r>
          </w:p>
        </w:tc>
        <w:tc>
          <w:tcPr>
            <w:tcW w:w="4121" w:type="dxa"/>
            <w:tcBorders>
              <w:top w:val="single" w:color="auto" w:sz="4" w:space="0"/>
              <w:left w:val="single" w:color="auto" w:sz="4" w:space="0"/>
              <w:bottom w:val="single" w:color="auto" w:sz="4" w:space="0"/>
              <w:right w:val="single" w:color="auto" w:sz="4" w:space="0"/>
            </w:tcBorders>
            <w:shd w:val="clear" w:color="000000" w:fill="FFFFFF"/>
            <w:vAlign w:val="center"/>
          </w:tcPr>
          <w:p w14:paraId="42658B0A">
            <w:pPr>
              <w:spacing w:after="0" w:line="240" w:lineRule="auto"/>
              <w:rPr>
                <w:rFonts w:ascii="Times New Roman" w:hAnsi="Times New Roman"/>
                <w:sz w:val="24"/>
                <w:szCs w:val="24"/>
              </w:rPr>
            </w:pPr>
            <w:r>
              <w:rPr>
                <w:rFonts w:ascii="Times New Roman" w:hAnsi="Times New Roman"/>
                <w:sz w:val="24"/>
                <w:szCs w:val="24"/>
              </w:rPr>
              <w:t xml:space="preserve">Dokaz o kupnji, te zdravstvenom stanju divljači i ispuštanju divljači u lovište </w:t>
            </w:r>
            <w:r>
              <w:rPr>
                <w:rFonts w:ascii="Times New Roman" w:hAnsi="Times New Roman"/>
                <w:b/>
                <w:bCs/>
                <w:sz w:val="24"/>
                <w:szCs w:val="24"/>
              </w:rPr>
              <w:t>za Aktivnost 1.4.</w:t>
            </w:r>
          </w:p>
        </w:tc>
        <w:tc>
          <w:tcPr>
            <w:tcW w:w="5377" w:type="dxa"/>
            <w:tcBorders>
              <w:top w:val="single" w:color="auto" w:sz="4" w:space="0"/>
              <w:left w:val="single" w:color="auto" w:sz="4" w:space="0"/>
              <w:bottom w:val="single" w:color="auto" w:sz="4" w:space="0"/>
              <w:right w:val="single" w:color="000000" w:sz="4" w:space="0"/>
            </w:tcBorders>
            <w:shd w:val="clear" w:color="000000" w:fill="FFFFFF"/>
            <w:vAlign w:val="center"/>
          </w:tcPr>
          <w:p w14:paraId="346D020A">
            <w:pPr>
              <w:spacing w:after="0" w:line="240" w:lineRule="auto"/>
              <w:rPr>
                <w:rFonts w:ascii="Times New Roman" w:hAnsi="Times New Roman"/>
                <w:sz w:val="24"/>
                <w:szCs w:val="24"/>
              </w:rPr>
            </w:pPr>
            <w:r>
              <w:rPr>
                <w:rFonts w:ascii="Times New Roman" w:hAnsi="Times New Roman"/>
                <w:sz w:val="24"/>
                <w:szCs w:val="24"/>
              </w:rPr>
              <w:t xml:space="preserve">Preslika računa ispostavljenog na prijavitelja plaćenog s poslovnog računa prijavitelja (uz potvrdu banke o izvršenom plaćanju ili bankovni izvod o izvršenom plaćanju) za nabavku divljači, preslika veterinarskog uvjerenja o zdravstvenom stanju unesene divljači i preslika zapisnika o ispuštanju divljači u lovište  </w:t>
            </w:r>
          </w:p>
        </w:tc>
      </w:tr>
      <w:bookmarkEnd w:id="18"/>
    </w:tbl>
    <w:p w14:paraId="4208CB5A">
      <w:pPr>
        <w:rPr>
          <w:rFonts w:ascii="Times New Roman" w:hAnsi="Times New Roman"/>
          <w:sz w:val="24"/>
          <w:szCs w:val="24"/>
        </w:rPr>
      </w:pPr>
    </w:p>
    <w:tbl>
      <w:tblPr>
        <w:tblStyle w:val="13"/>
        <w:tblW w:w="522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4"/>
        <w:gridCol w:w="4207"/>
        <w:gridCol w:w="5668"/>
      </w:tblGrid>
      <w:tr w14:paraId="4B755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8" w:hRule="atLeast"/>
          <w:jc w:val="center"/>
        </w:trPr>
        <w:tc>
          <w:tcPr>
            <w:tcW w:w="5000" w:type="pct"/>
            <w:gridSpan w:val="3"/>
            <w:noWrap/>
            <w:vAlign w:val="center"/>
          </w:tcPr>
          <w:p w14:paraId="666E25B8">
            <w:pPr>
              <w:spacing w:after="0" w:line="240" w:lineRule="auto"/>
              <w:jc w:val="center"/>
              <w:rPr>
                <w:rFonts w:ascii="Times New Roman" w:hAnsi="Times New Roman"/>
                <w:b/>
                <w:sz w:val="24"/>
                <w:szCs w:val="24"/>
              </w:rPr>
            </w:pPr>
          </w:p>
          <w:p w14:paraId="2AA9DE82">
            <w:pPr>
              <w:spacing w:after="0" w:line="240" w:lineRule="auto"/>
              <w:jc w:val="center"/>
              <w:rPr>
                <w:rFonts w:ascii="Times New Roman" w:hAnsi="Times New Roman"/>
                <w:b/>
                <w:sz w:val="24"/>
                <w:szCs w:val="24"/>
              </w:rPr>
            </w:pPr>
            <w:r>
              <w:rPr>
                <w:rFonts w:ascii="Times New Roman" w:hAnsi="Times New Roman"/>
                <w:b/>
                <w:sz w:val="24"/>
                <w:szCs w:val="24"/>
              </w:rPr>
              <w:t>TRGOVAČKA DRUŠTVA/OBRTI</w:t>
            </w:r>
          </w:p>
          <w:p w14:paraId="51C9F2D3">
            <w:pPr>
              <w:spacing w:after="0" w:line="240" w:lineRule="auto"/>
              <w:jc w:val="center"/>
              <w:rPr>
                <w:rFonts w:ascii="Times New Roman" w:hAnsi="Times New Roman"/>
                <w:b/>
                <w:sz w:val="24"/>
                <w:szCs w:val="24"/>
                <w:lang w:eastAsia="hr-HR"/>
              </w:rPr>
            </w:pPr>
          </w:p>
        </w:tc>
      </w:tr>
      <w:tr w14:paraId="6B585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jc w:val="center"/>
        </w:trPr>
        <w:tc>
          <w:tcPr>
            <w:tcW w:w="275" w:type="pct"/>
            <w:noWrap/>
            <w:vAlign w:val="center"/>
          </w:tcPr>
          <w:p w14:paraId="7033BA3F">
            <w:pPr>
              <w:spacing w:after="0" w:line="240" w:lineRule="auto"/>
              <w:rPr>
                <w:rFonts w:ascii="Times New Roman" w:hAnsi="Times New Roman" w:eastAsia="Times New Roman"/>
                <w:sz w:val="24"/>
                <w:szCs w:val="24"/>
                <w:highlight w:val="cyan"/>
                <w:lang w:eastAsia="hr-HR"/>
              </w:rPr>
            </w:pPr>
          </w:p>
        </w:tc>
        <w:tc>
          <w:tcPr>
            <w:tcW w:w="2013" w:type="pct"/>
            <w:noWrap/>
            <w:vAlign w:val="center"/>
          </w:tcPr>
          <w:p w14:paraId="0B7CF4A2">
            <w:pPr>
              <w:spacing w:after="0" w:line="240" w:lineRule="auto"/>
              <w:jc w:val="center"/>
              <w:rPr>
                <w:rFonts w:ascii="Times New Roman" w:hAnsi="Times New Roman" w:eastAsia="Times New Roman"/>
                <w:sz w:val="24"/>
                <w:szCs w:val="24"/>
                <w:lang w:eastAsia="hr-HR"/>
              </w:rPr>
            </w:pPr>
            <w:r>
              <w:rPr>
                <w:rFonts w:ascii="Times New Roman" w:hAnsi="Times New Roman" w:eastAsia="Times New Roman"/>
                <w:b/>
                <w:sz w:val="24"/>
                <w:szCs w:val="24"/>
                <w:lang w:eastAsia="hr-HR"/>
              </w:rPr>
              <w:t>U V J E T I</w:t>
            </w:r>
          </w:p>
        </w:tc>
        <w:tc>
          <w:tcPr>
            <w:tcW w:w="2712" w:type="pct"/>
            <w:vAlign w:val="center"/>
          </w:tcPr>
          <w:p w14:paraId="53C19423">
            <w:pPr>
              <w:spacing w:after="0" w:line="240" w:lineRule="auto"/>
              <w:jc w:val="center"/>
              <w:rPr>
                <w:rFonts w:ascii="Times New Roman" w:hAnsi="Times New Roman" w:eastAsia="Times New Roman"/>
                <w:b/>
                <w:sz w:val="24"/>
                <w:szCs w:val="24"/>
                <w:lang w:val="en-US" w:eastAsia="hr-HR"/>
              </w:rPr>
            </w:pPr>
          </w:p>
          <w:p w14:paraId="445CDFC7">
            <w:pPr>
              <w:spacing w:after="0" w:line="240" w:lineRule="auto"/>
              <w:jc w:val="center"/>
              <w:rPr>
                <w:rFonts w:ascii="Times New Roman" w:hAnsi="Times New Roman" w:eastAsia="Times New Roman"/>
                <w:b/>
                <w:sz w:val="24"/>
                <w:szCs w:val="24"/>
                <w:lang w:eastAsia="hr-HR"/>
              </w:rPr>
            </w:pPr>
            <w:r>
              <w:rPr>
                <w:rFonts w:ascii="Times New Roman" w:hAnsi="Times New Roman" w:eastAsia="Times New Roman"/>
                <w:b/>
                <w:sz w:val="24"/>
                <w:szCs w:val="24"/>
                <w:lang w:val="en-US" w:eastAsia="hr-HR"/>
              </w:rPr>
              <w:t xml:space="preserve"> </w:t>
            </w:r>
            <w:r>
              <w:rPr>
                <w:rFonts w:ascii="Times New Roman" w:hAnsi="Times New Roman" w:eastAsia="Times New Roman"/>
                <w:b/>
                <w:sz w:val="24"/>
                <w:szCs w:val="24"/>
                <w:lang w:eastAsia="hr-HR"/>
              </w:rPr>
              <w:t>D O K A Z I</w:t>
            </w:r>
          </w:p>
          <w:p w14:paraId="3A019FB3">
            <w:pPr>
              <w:spacing w:after="0" w:line="240" w:lineRule="auto"/>
              <w:jc w:val="center"/>
              <w:rPr>
                <w:rFonts w:ascii="Times New Roman" w:hAnsi="Times New Roman" w:eastAsia="Times New Roman"/>
                <w:b/>
                <w:sz w:val="24"/>
                <w:szCs w:val="24"/>
                <w:lang w:eastAsia="hr-HR"/>
              </w:rPr>
            </w:pPr>
          </w:p>
        </w:tc>
      </w:tr>
      <w:tr w14:paraId="44259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 w:hRule="atLeast"/>
          <w:jc w:val="center"/>
        </w:trPr>
        <w:tc>
          <w:tcPr>
            <w:tcW w:w="275" w:type="pct"/>
            <w:shd w:val="clear" w:color="auto" w:fill="FFFFFF"/>
            <w:noWrap/>
            <w:vAlign w:val="center"/>
          </w:tcPr>
          <w:p w14:paraId="3727F318">
            <w:pPr>
              <w:spacing w:after="0" w:line="240" w:lineRule="auto"/>
              <w:rPr>
                <w:rFonts w:ascii="Times New Roman" w:hAnsi="Times New Roman" w:eastAsia="Times New Roman"/>
                <w:sz w:val="24"/>
                <w:szCs w:val="24"/>
                <w:lang w:eastAsia="hr-HR"/>
              </w:rPr>
            </w:pPr>
            <w:r>
              <w:rPr>
                <w:rFonts w:ascii="Times New Roman" w:hAnsi="Times New Roman" w:eastAsia="Times New Roman"/>
                <w:sz w:val="24"/>
                <w:szCs w:val="24"/>
                <w:lang w:eastAsia="hr-HR"/>
              </w:rPr>
              <w:t>1.</w:t>
            </w:r>
          </w:p>
        </w:tc>
        <w:tc>
          <w:tcPr>
            <w:tcW w:w="2013" w:type="pct"/>
            <w:noWrap/>
            <w:vAlign w:val="center"/>
          </w:tcPr>
          <w:p w14:paraId="12A5AD93">
            <w:pPr>
              <w:pStyle w:val="38"/>
              <w:jc w:val="both"/>
              <w:rPr>
                <w:rFonts w:ascii="Times New Roman" w:hAnsi="Times New Roman"/>
                <w:sz w:val="24"/>
                <w:szCs w:val="24"/>
              </w:rPr>
            </w:pPr>
            <w:r>
              <w:rPr>
                <w:rFonts w:ascii="Times New Roman" w:hAnsi="Times New Roman"/>
                <w:sz w:val="24"/>
                <w:szCs w:val="24"/>
              </w:rPr>
              <w:t>Upis u odgovarajući registar/upisnik</w:t>
            </w:r>
          </w:p>
        </w:tc>
        <w:tc>
          <w:tcPr>
            <w:tcW w:w="2712" w:type="pct"/>
            <w:vAlign w:val="center"/>
          </w:tcPr>
          <w:p w14:paraId="7900894F">
            <w:pPr>
              <w:pStyle w:val="38"/>
              <w:jc w:val="both"/>
              <w:rPr>
                <w:rFonts w:ascii="Times New Roman" w:hAnsi="Times New Roman"/>
                <w:sz w:val="24"/>
                <w:szCs w:val="24"/>
              </w:rPr>
            </w:pPr>
          </w:p>
          <w:p w14:paraId="24A0A2A6">
            <w:pPr>
              <w:pStyle w:val="38"/>
              <w:jc w:val="both"/>
              <w:rPr>
                <w:rFonts w:ascii="Times New Roman" w:hAnsi="Times New Roman"/>
                <w:sz w:val="24"/>
                <w:szCs w:val="24"/>
              </w:rPr>
            </w:pPr>
            <w:r>
              <w:rPr>
                <w:rFonts w:ascii="Times New Roman" w:hAnsi="Times New Roman"/>
                <w:sz w:val="24"/>
                <w:szCs w:val="24"/>
              </w:rPr>
              <w:t>Izvadak (ili e-ispis) iz Registra, ne stariji od šezdeset  (60) dana od dana objave Javnog poziva</w:t>
            </w:r>
          </w:p>
          <w:p w14:paraId="418C7307">
            <w:pPr>
              <w:pStyle w:val="38"/>
              <w:jc w:val="both"/>
              <w:rPr>
                <w:rFonts w:ascii="Times New Roman" w:hAnsi="Times New Roman"/>
                <w:sz w:val="24"/>
                <w:szCs w:val="24"/>
              </w:rPr>
            </w:pPr>
          </w:p>
        </w:tc>
      </w:tr>
      <w:tr w14:paraId="3D2D1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jc w:val="center"/>
        </w:trPr>
        <w:tc>
          <w:tcPr>
            <w:tcW w:w="275" w:type="pct"/>
            <w:shd w:val="clear" w:color="auto" w:fill="FFFFFF"/>
            <w:noWrap/>
            <w:vAlign w:val="center"/>
          </w:tcPr>
          <w:p w14:paraId="719C5B40">
            <w:pPr>
              <w:spacing w:after="0" w:line="240" w:lineRule="auto"/>
              <w:rPr>
                <w:rFonts w:ascii="Times New Roman" w:hAnsi="Times New Roman" w:eastAsia="Times New Roman"/>
                <w:sz w:val="24"/>
                <w:szCs w:val="24"/>
                <w:lang w:eastAsia="hr-HR"/>
              </w:rPr>
            </w:pPr>
          </w:p>
          <w:p w14:paraId="16658EB4">
            <w:pPr>
              <w:spacing w:after="0" w:line="240" w:lineRule="auto"/>
              <w:rPr>
                <w:rFonts w:ascii="Times New Roman" w:hAnsi="Times New Roman" w:eastAsia="Times New Roman"/>
                <w:sz w:val="24"/>
                <w:szCs w:val="24"/>
                <w:lang w:eastAsia="hr-HR"/>
              </w:rPr>
            </w:pPr>
            <w:r>
              <w:rPr>
                <w:rFonts w:ascii="Times New Roman" w:hAnsi="Times New Roman" w:eastAsia="Times New Roman"/>
                <w:sz w:val="24"/>
                <w:szCs w:val="24"/>
                <w:lang w:eastAsia="hr-HR"/>
              </w:rPr>
              <w:t>2.</w:t>
            </w:r>
          </w:p>
          <w:p w14:paraId="51204AF5">
            <w:pPr>
              <w:spacing w:after="0" w:line="240" w:lineRule="auto"/>
              <w:rPr>
                <w:rFonts w:ascii="Times New Roman" w:hAnsi="Times New Roman" w:eastAsia="Times New Roman"/>
                <w:sz w:val="24"/>
                <w:szCs w:val="24"/>
                <w:lang w:eastAsia="hr-HR"/>
              </w:rPr>
            </w:pPr>
          </w:p>
        </w:tc>
        <w:tc>
          <w:tcPr>
            <w:tcW w:w="2013" w:type="pct"/>
            <w:shd w:val="clear" w:color="000000" w:fill="FFFFFF"/>
            <w:noWrap/>
            <w:vAlign w:val="center"/>
          </w:tcPr>
          <w:p w14:paraId="5EE8825A">
            <w:pPr>
              <w:pStyle w:val="38"/>
              <w:jc w:val="both"/>
              <w:rPr>
                <w:rFonts w:ascii="Times New Roman" w:hAnsi="Times New Roman"/>
                <w:sz w:val="24"/>
                <w:szCs w:val="24"/>
              </w:rPr>
            </w:pPr>
            <w:r>
              <w:rPr>
                <w:rFonts w:ascii="Times New Roman" w:hAnsi="Times New Roman" w:eastAsia="Times New Roman"/>
                <w:sz w:val="24"/>
                <w:szCs w:val="24"/>
                <w:lang w:eastAsia="hr-HR"/>
              </w:rPr>
              <w:t xml:space="preserve">Protiv </w:t>
            </w:r>
            <w:r>
              <w:rPr>
                <w:rFonts w:ascii="Times New Roman" w:hAnsi="Times New Roman" w:eastAsia="Times New Roman"/>
                <w:b/>
                <w:sz w:val="24"/>
                <w:szCs w:val="24"/>
                <w:lang w:eastAsia="hr-HR"/>
              </w:rPr>
              <w:t>prijavitelja (obrt i trgovačko društvo)</w:t>
            </w:r>
            <w:r>
              <w:rPr>
                <w:rFonts w:ascii="Times New Roman" w:hAnsi="Times New Roman" w:eastAsia="Times New Roman"/>
                <w:bCs/>
                <w:sz w:val="24"/>
                <w:szCs w:val="24"/>
                <w:lang w:eastAsia="hr-HR"/>
              </w:rPr>
              <w:t xml:space="preserve"> </w:t>
            </w:r>
            <w:r>
              <w:rPr>
                <w:rFonts w:ascii="Times New Roman" w:hAnsi="Times New Roman" w:eastAsia="Times New Roman"/>
                <w:sz w:val="24"/>
                <w:szCs w:val="24"/>
                <w:lang w:eastAsia="hr-HR"/>
              </w:rPr>
              <w:t>se ne vodi kazneni postupak</w:t>
            </w:r>
          </w:p>
        </w:tc>
        <w:tc>
          <w:tcPr>
            <w:tcW w:w="2712" w:type="pct"/>
            <w:shd w:val="clear" w:color="000000" w:fill="FFFFFF"/>
            <w:vAlign w:val="center"/>
          </w:tcPr>
          <w:p w14:paraId="18DD9F5F">
            <w:pPr>
              <w:pStyle w:val="38"/>
              <w:jc w:val="both"/>
              <w:rPr>
                <w:rFonts w:ascii="Times New Roman" w:hAnsi="Times New Roman" w:eastAsia="Times New Roman"/>
                <w:sz w:val="24"/>
                <w:szCs w:val="24"/>
                <w:lang w:eastAsia="hr-HR"/>
              </w:rPr>
            </w:pPr>
            <w:r>
              <w:rPr>
                <w:rFonts w:ascii="Times New Roman" w:hAnsi="Times New Roman" w:eastAsia="Times New Roman"/>
                <w:sz w:val="24"/>
                <w:szCs w:val="24"/>
                <w:lang w:eastAsia="hr-HR"/>
              </w:rPr>
              <w:t>Uvjerenje nadležnog suda da se protiv prijavitelja (obrt/trgovačko društvo) ne vodi kazneni postupak, ne starije od šezdeset (60) dana od dana objave Javnog poziva</w:t>
            </w:r>
          </w:p>
          <w:p w14:paraId="0937CFD7">
            <w:pPr>
              <w:pStyle w:val="38"/>
              <w:jc w:val="both"/>
              <w:rPr>
                <w:rFonts w:ascii="Times New Roman" w:hAnsi="Times New Roman"/>
                <w:sz w:val="24"/>
                <w:szCs w:val="24"/>
              </w:rPr>
            </w:pPr>
            <w:r>
              <w:rPr>
                <w:rFonts w:ascii="Times New Roman" w:hAnsi="Times New Roman" w:eastAsia="Times New Roman"/>
                <w:sz w:val="24"/>
                <w:szCs w:val="24"/>
                <w:lang w:eastAsia="hr-HR"/>
              </w:rPr>
              <w:t xml:space="preserve"> </w:t>
            </w:r>
          </w:p>
        </w:tc>
      </w:tr>
      <w:tr w14:paraId="07570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7" w:hRule="atLeast"/>
          <w:jc w:val="center"/>
        </w:trPr>
        <w:tc>
          <w:tcPr>
            <w:tcW w:w="275" w:type="pct"/>
            <w:shd w:val="clear" w:color="auto" w:fill="FFFFFF"/>
            <w:noWrap/>
            <w:vAlign w:val="center"/>
          </w:tcPr>
          <w:p w14:paraId="055D1E6D">
            <w:pPr>
              <w:spacing w:after="0" w:line="240" w:lineRule="auto"/>
              <w:rPr>
                <w:rFonts w:ascii="Times New Roman" w:hAnsi="Times New Roman" w:eastAsia="Times New Roman"/>
                <w:sz w:val="24"/>
                <w:szCs w:val="24"/>
                <w:lang w:eastAsia="hr-HR"/>
              </w:rPr>
            </w:pPr>
            <w:r>
              <w:rPr>
                <w:rFonts w:ascii="Times New Roman" w:hAnsi="Times New Roman" w:eastAsia="Times New Roman"/>
                <w:sz w:val="24"/>
                <w:szCs w:val="24"/>
                <w:lang w:eastAsia="hr-HR"/>
              </w:rPr>
              <w:t xml:space="preserve">3. </w:t>
            </w:r>
          </w:p>
        </w:tc>
        <w:tc>
          <w:tcPr>
            <w:tcW w:w="2013" w:type="pct"/>
            <w:shd w:val="clear" w:color="000000" w:fill="FFFFFF"/>
            <w:noWrap/>
            <w:vAlign w:val="center"/>
          </w:tcPr>
          <w:p w14:paraId="6065009B">
            <w:pPr>
              <w:pStyle w:val="38"/>
              <w:jc w:val="both"/>
              <w:rPr>
                <w:rFonts w:ascii="Times New Roman" w:hAnsi="Times New Roman"/>
                <w:sz w:val="24"/>
                <w:szCs w:val="24"/>
              </w:rPr>
            </w:pPr>
            <w:r>
              <w:rPr>
                <w:rFonts w:ascii="Times New Roman" w:hAnsi="Times New Roman" w:eastAsia="Times New Roman"/>
                <w:sz w:val="24"/>
                <w:szCs w:val="24"/>
                <w:lang w:eastAsia="hr-HR"/>
              </w:rPr>
              <w:t xml:space="preserve">Protiv </w:t>
            </w:r>
            <w:r>
              <w:rPr>
                <w:rFonts w:ascii="Times New Roman" w:hAnsi="Times New Roman" w:eastAsia="Times New Roman"/>
                <w:b/>
                <w:sz w:val="24"/>
                <w:szCs w:val="24"/>
                <w:lang w:eastAsia="hr-HR"/>
              </w:rPr>
              <w:t>osobe ovlaštene za zastupanje prijavitelja</w:t>
            </w:r>
            <w:r>
              <w:rPr>
                <w:rFonts w:ascii="Times New Roman" w:hAnsi="Times New Roman" w:eastAsia="Times New Roman"/>
                <w:sz w:val="24"/>
                <w:szCs w:val="24"/>
                <w:lang w:eastAsia="hr-HR"/>
              </w:rPr>
              <w:t xml:space="preserve"> </w:t>
            </w:r>
            <w:r>
              <w:rPr>
                <w:rFonts w:ascii="Times New Roman" w:hAnsi="Times New Roman" w:eastAsia="Times New Roman"/>
                <w:b/>
                <w:bCs/>
                <w:sz w:val="24"/>
                <w:szCs w:val="24"/>
                <w:lang w:eastAsia="hr-HR"/>
              </w:rPr>
              <w:t>(samo za trgovačko društvo)</w:t>
            </w:r>
            <w:r>
              <w:rPr>
                <w:rFonts w:ascii="Times New Roman" w:hAnsi="Times New Roman" w:eastAsia="Times New Roman"/>
                <w:sz w:val="24"/>
                <w:szCs w:val="24"/>
                <w:lang w:eastAsia="hr-HR"/>
              </w:rPr>
              <w:t xml:space="preserve"> se ne vodi kazneni postupak </w:t>
            </w:r>
          </w:p>
        </w:tc>
        <w:tc>
          <w:tcPr>
            <w:tcW w:w="2712" w:type="pct"/>
            <w:shd w:val="clear" w:color="000000" w:fill="FFFFFF"/>
            <w:vAlign w:val="center"/>
          </w:tcPr>
          <w:p w14:paraId="1DD51F50">
            <w:pPr>
              <w:pStyle w:val="38"/>
              <w:jc w:val="both"/>
              <w:rPr>
                <w:rFonts w:ascii="Times New Roman" w:hAnsi="Times New Roman" w:eastAsia="Times New Roman"/>
                <w:sz w:val="24"/>
                <w:szCs w:val="24"/>
                <w:lang w:eastAsia="hr-HR"/>
              </w:rPr>
            </w:pPr>
            <w:r>
              <w:rPr>
                <w:rFonts w:ascii="Times New Roman" w:hAnsi="Times New Roman" w:eastAsia="Times New Roman"/>
                <w:sz w:val="24"/>
                <w:szCs w:val="24"/>
                <w:lang w:eastAsia="hr-HR"/>
              </w:rPr>
              <w:t>Uvjerenje nadležnog suda da se protiv osobe ovlaštene za zastupanje prijavitelja (trgovačko društvo) ne vodi kazneni postupak, ne starije od šezdeset (60) dana od dana objave Javnog poziva</w:t>
            </w:r>
          </w:p>
          <w:p w14:paraId="141F1436">
            <w:pPr>
              <w:pStyle w:val="38"/>
              <w:jc w:val="both"/>
              <w:rPr>
                <w:rFonts w:ascii="Times New Roman" w:hAnsi="Times New Roman" w:eastAsia="Times New Roman"/>
                <w:sz w:val="24"/>
                <w:szCs w:val="24"/>
                <w:lang w:eastAsia="hr-HR"/>
              </w:rPr>
            </w:pPr>
          </w:p>
        </w:tc>
      </w:tr>
      <w:tr w14:paraId="66C23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275" w:type="pct"/>
            <w:shd w:val="clear" w:color="auto" w:fill="FFFFFF"/>
            <w:noWrap/>
            <w:vAlign w:val="center"/>
          </w:tcPr>
          <w:p w14:paraId="31D0FE8E">
            <w:pPr>
              <w:spacing w:after="0" w:line="240" w:lineRule="auto"/>
              <w:rPr>
                <w:rFonts w:ascii="Times New Roman" w:hAnsi="Times New Roman" w:eastAsia="Times New Roman"/>
                <w:sz w:val="24"/>
                <w:szCs w:val="24"/>
                <w:lang w:eastAsia="hr-HR"/>
              </w:rPr>
            </w:pPr>
            <w:r>
              <w:rPr>
                <w:rFonts w:ascii="Times New Roman" w:hAnsi="Times New Roman" w:eastAsia="Times New Roman"/>
                <w:sz w:val="24"/>
                <w:szCs w:val="24"/>
                <w:lang w:eastAsia="hr-HR"/>
              </w:rPr>
              <w:t>4.</w:t>
            </w:r>
          </w:p>
        </w:tc>
        <w:tc>
          <w:tcPr>
            <w:tcW w:w="2013" w:type="pct"/>
            <w:shd w:val="clear" w:color="auto" w:fill="FFFFFF"/>
            <w:noWrap/>
            <w:vAlign w:val="center"/>
          </w:tcPr>
          <w:p w14:paraId="39C265B4">
            <w:pPr>
              <w:spacing w:after="0" w:line="240" w:lineRule="auto"/>
              <w:rPr>
                <w:rFonts w:ascii="Times New Roman" w:hAnsi="Times New Roman" w:eastAsia="Times New Roman"/>
                <w:sz w:val="24"/>
                <w:szCs w:val="24"/>
                <w:lang w:eastAsia="hr-HR"/>
              </w:rPr>
            </w:pPr>
            <w:r>
              <w:rPr>
                <w:rFonts w:ascii="Times New Roman" w:hAnsi="Times New Roman"/>
                <w:sz w:val="24"/>
                <w:szCs w:val="24"/>
              </w:rPr>
              <w:t>Nema dugovanja prema državnom proračunu</w:t>
            </w:r>
          </w:p>
        </w:tc>
        <w:tc>
          <w:tcPr>
            <w:tcW w:w="2712" w:type="pct"/>
            <w:shd w:val="clear" w:color="auto" w:fill="FFFFFF"/>
            <w:vAlign w:val="center"/>
          </w:tcPr>
          <w:p w14:paraId="71C4753E">
            <w:pPr>
              <w:spacing w:after="0" w:line="240" w:lineRule="auto"/>
              <w:rPr>
                <w:rFonts w:ascii="Times New Roman" w:hAnsi="Times New Roman"/>
                <w:sz w:val="24"/>
                <w:szCs w:val="24"/>
              </w:rPr>
            </w:pPr>
            <w:r>
              <w:rPr>
                <w:rFonts w:ascii="Times New Roman" w:hAnsi="Times New Roman"/>
                <w:sz w:val="24"/>
                <w:szCs w:val="24"/>
              </w:rPr>
              <w:t xml:space="preserve">Potvrda Porezne uprave o stanju poreznog duga, ne starija od šezdeset (60) dana od dana objave Javnog poziva </w:t>
            </w:r>
          </w:p>
          <w:p w14:paraId="18D2B6F9">
            <w:pPr>
              <w:spacing w:after="0" w:line="240" w:lineRule="auto"/>
              <w:rPr>
                <w:rFonts w:ascii="Times New Roman" w:hAnsi="Times New Roman"/>
                <w:sz w:val="24"/>
                <w:szCs w:val="24"/>
                <w:lang w:eastAsia="hr-HR"/>
              </w:rPr>
            </w:pPr>
          </w:p>
        </w:tc>
      </w:tr>
      <w:tr w14:paraId="50EAA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2" w:hRule="atLeast"/>
          <w:jc w:val="center"/>
        </w:trPr>
        <w:tc>
          <w:tcPr>
            <w:tcW w:w="275" w:type="pct"/>
            <w:shd w:val="clear" w:color="auto" w:fill="FFFFFF"/>
            <w:noWrap/>
            <w:vAlign w:val="center"/>
          </w:tcPr>
          <w:p w14:paraId="4359FFF1">
            <w:pPr>
              <w:spacing w:after="0" w:line="240" w:lineRule="auto"/>
              <w:rPr>
                <w:rFonts w:ascii="Times New Roman" w:hAnsi="Times New Roman" w:eastAsia="Times New Roman"/>
                <w:sz w:val="24"/>
                <w:szCs w:val="24"/>
                <w:lang w:eastAsia="hr-HR"/>
              </w:rPr>
            </w:pPr>
            <w:r>
              <w:rPr>
                <w:rFonts w:ascii="Times New Roman" w:hAnsi="Times New Roman" w:eastAsia="Times New Roman"/>
                <w:sz w:val="24"/>
                <w:szCs w:val="24"/>
                <w:lang w:eastAsia="hr-HR"/>
              </w:rPr>
              <w:t>5.</w:t>
            </w:r>
          </w:p>
        </w:tc>
        <w:tc>
          <w:tcPr>
            <w:tcW w:w="2013" w:type="pct"/>
            <w:shd w:val="clear" w:color="000000" w:fill="FFFFFF"/>
            <w:noWrap/>
            <w:vAlign w:val="center"/>
          </w:tcPr>
          <w:p w14:paraId="6EBC91D8">
            <w:pPr>
              <w:spacing w:after="0" w:line="240" w:lineRule="auto"/>
              <w:rPr>
                <w:rFonts w:ascii="Times New Roman" w:hAnsi="Times New Roman" w:eastAsia="Times New Roman"/>
                <w:sz w:val="24"/>
                <w:szCs w:val="24"/>
                <w:lang w:eastAsia="hr-HR"/>
              </w:rPr>
            </w:pPr>
            <w:r>
              <w:rPr>
                <w:rFonts w:ascii="Times New Roman" w:hAnsi="Times New Roman" w:eastAsia="Times New Roman"/>
                <w:sz w:val="24"/>
                <w:szCs w:val="24"/>
                <w:lang w:eastAsia="hr-HR"/>
              </w:rPr>
              <w:t xml:space="preserve">Predračun i/ili ponuda i/ili troškovnik i sl. </w:t>
            </w:r>
            <w:r>
              <w:rPr>
                <w:rFonts w:ascii="Times New Roman" w:hAnsi="Times New Roman" w:eastAsia="Times New Roman"/>
                <w:sz w:val="24"/>
                <w:szCs w:val="24"/>
                <w:lang w:eastAsia="hr-HR"/>
              </w:rPr>
              <w:tab/>
            </w:r>
          </w:p>
        </w:tc>
        <w:tc>
          <w:tcPr>
            <w:tcW w:w="2712" w:type="pct"/>
            <w:shd w:val="clear" w:color="000000" w:fill="FFFFFF"/>
            <w:vAlign w:val="center"/>
          </w:tcPr>
          <w:p w14:paraId="61E86541">
            <w:pPr>
              <w:spacing w:after="0" w:line="240" w:lineRule="auto"/>
              <w:rPr>
                <w:rFonts w:ascii="Times New Roman" w:hAnsi="Times New Roman" w:eastAsia="Times New Roman"/>
                <w:sz w:val="24"/>
                <w:szCs w:val="24"/>
                <w:lang w:eastAsia="hr-HR"/>
              </w:rPr>
            </w:pPr>
            <w:r>
              <w:rPr>
                <w:rFonts w:ascii="Times New Roman" w:hAnsi="Times New Roman" w:eastAsia="Times New Roman"/>
                <w:sz w:val="24"/>
                <w:szCs w:val="24"/>
                <w:lang w:eastAsia="hr-HR"/>
              </w:rPr>
              <w:t>Preslike predračuna i/ili ponude i/ili troškovnika i sl. na ime prijavitelja.</w:t>
            </w:r>
          </w:p>
          <w:p w14:paraId="53340EBE">
            <w:pPr>
              <w:spacing w:after="0" w:line="240" w:lineRule="auto"/>
              <w:rPr>
                <w:rFonts w:ascii="Times New Roman" w:hAnsi="Times New Roman" w:eastAsia="Times New Roman"/>
                <w:sz w:val="24"/>
                <w:szCs w:val="24"/>
                <w:u w:val="single"/>
                <w:lang w:eastAsia="hr-HR"/>
              </w:rPr>
            </w:pPr>
            <w:r>
              <w:rPr>
                <w:rFonts w:ascii="Times New Roman" w:hAnsi="Times New Roman" w:eastAsia="Times New Roman"/>
                <w:sz w:val="24"/>
                <w:szCs w:val="24"/>
                <w:u w:val="single"/>
                <w:lang w:eastAsia="hr-HR"/>
              </w:rPr>
              <w:t xml:space="preserve">Za troškove nakon objave Javnog poziva. </w:t>
            </w:r>
          </w:p>
          <w:p w14:paraId="0F2671DB">
            <w:pPr>
              <w:spacing w:after="0" w:line="240" w:lineRule="auto"/>
              <w:rPr>
                <w:rFonts w:ascii="Times New Roman" w:hAnsi="Times New Roman" w:eastAsia="Times New Roman"/>
                <w:sz w:val="24"/>
                <w:szCs w:val="24"/>
                <w:lang w:eastAsia="hr-HR"/>
              </w:rPr>
            </w:pPr>
          </w:p>
        </w:tc>
      </w:tr>
      <w:tr w14:paraId="63927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4" w:hRule="atLeast"/>
          <w:jc w:val="center"/>
        </w:trPr>
        <w:tc>
          <w:tcPr>
            <w:tcW w:w="275" w:type="pct"/>
            <w:shd w:val="clear" w:color="auto" w:fill="FFFFFF"/>
            <w:noWrap/>
            <w:vAlign w:val="center"/>
          </w:tcPr>
          <w:p w14:paraId="554CAE46">
            <w:pPr>
              <w:spacing w:after="0" w:line="240" w:lineRule="auto"/>
              <w:rPr>
                <w:rFonts w:ascii="Times New Roman" w:hAnsi="Times New Roman" w:eastAsia="Times New Roman"/>
                <w:sz w:val="24"/>
                <w:szCs w:val="24"/>
                <w:lang w:eastAsia="hr-HR"/>
              </w:rPr>
            </w:pPr>
            <w:r>
              <w:rPr>
                <w:rFonts w:ascii="Times New Roman" w:hAnsi="Times New Roman" w:eastAsia="Times New Roman"/>
                <w:sz w:val="24"/>
                <w:szCs w:val="24"/>
                <w:lang w:eastAsia="hr-HR"/>
              </w:rPr>
              <w:t>6.</w:t>
            </w:r>
          </w:p>
        </w:tc>
        <w:tc>
          <w:tcPr>
            <w:tcW w:w="2013" w:type="pct"/>
            <w:shd w:val="clear" w:color="000000" w:fill="FFFFFF"/>
            <w:noWrap/>
            <w:vAlign w:val="center"/>
          </w:tcPr>
          <w:p w14:paraId="79C6883F">
            <w:pPr>
              <w:spacing w:after="0" w:line="240" w:lineRule="auto"/>
              <w:rPr>
                <w:rFonts w:ascii="Times New Roman" w:hAnsi="Times New Roman" w:eastAsia="Times New Roman"/>
                <w:sz w:val="24"/>
                <w:szCs w:val="24"/>
                <w:lang w:eastAsia="hr-HR"/>
              </w:rPr>
            </w:pPr>
            <w:r>
              <w:rPr>
                <w:rFonts w:ascii="Times New Roman" w:hAnsi="Times New Roman" w:eastAsia="Times New Roman"/>
                <w:sz w:val="24"/>
                <w:szCs w:val="24"/>
                <w:lang w:eastAsia="hr-HR"/>
              </w:rPr>
              <w:t>Račun i potvrda o plaćanju troška za provedene aktivnosti – prema specifikaciji provedenih ulaganja</w:t>
            </w:r>
          </w:p>
        </w:tc>
        <w:tc>
          <w:tcPr>
            <w:tcW w:w="2712" w:type="pct"/>
            <w:shd w:val="clear" w:color="000000" w:fill="FFFFFF"/>
            <w:vAlign w:val="center"/>
          </w:tcPr>
          <w:p w14:paraId="62404C8C">
            <w:pPr>
              <w:spacing w:after="0" w:line="240" w:lineRule="auto"/>
              <w:jc w:val="both"/>
              <w:rPr>
                <w:rFonts w:ascii="Times New Roman" w:hAnsi="Times New Roman" w:eastAsia="Times New Roman"/>
                <w:bCs/>
                <w:sz w:val="24"/>
                <w:szCs w:val="24"/>
                <w:lang w:eastAsia="hr-HR"/>
              </w:rPr>
            </w:pPr>
            <w:r>
              <w:rPr>
                <w:rFonts w:ascii="Times New Roman" w:hAnsi="Times New Roman"/>
                <w:sz w:val="24"/>
                <w:szCs w:val="24"/>
              </w:rPr>
              <w:t xml:space="preserve">Preslika računa ispostavljenog na prijavitelja plaćenog s poslovnog računa prijavitelja (uz potvrdu banke o izvršenom plaćanju ili bankovni izvod o izvršenom plaćanju). U slučaju ugovora - ugovor sklopljen sa prijaviteljem (uz potvrdu banke o izvršenom plaćanju ili bankovni izvod o izvršenom plaćanju s poslovnog računa prijavitelja). U slučaju kredita - potvrdu/-e banke o izvršenom plaćanju ili bankovni izvodi/-e o izvršenom plaćanju. </w:t>
            </w:r>
          </w:p>
          <w:p w14:paraId="52D644F9">
            <w:pPr>
              <w:spacing w:after="0" w:line="240" w:lineRule="auto"/>
              <w:rPr>
                <w:rFonts w:ascii="Times New Roman" w:hAnsi="Times New Roman" w:eastAsia="Times New Roman"/>
                <w:bCs/>
                <w:sz w:val="24"/>
                <w:szCs w:val="24"/>
                <w:u w:val="single"/>
                <w:lang w:eastAsia="hr-HR"/>
              </w:rPr>
            </w:pPr>
            <w:r>
              <w:rPr>
                <w:rFonts w:ascii="Times New Roman" w:hAnsi="Times New Roman" w:eastAsia="Times New Roman"/>
                <w:bCs/>
                <w:sz w:val="24"/>
                <w:szCs w:val="24"/>
                <w:u w:val="single"/>
                <w:lang w:eastAsia="hr-HR"/>
              </w:rPr>
              <w:t>Za provedene aktivnosti prije objave Javnog poziva.</w:t>
            </w:r>
          </w:p>
          <w:p w14:paraId="2454C83C">
            <w:pPr>
              <w:spacing w:after="0" w:line="240" w:lineRule="auto"/>
              <w:rPr>
                <w:rFonts w:ascii="Times New Roman" w:hAnsi="Times New Roman" w:eastAsia="Times New Roman"/>
                <w:bCs/>
                <w:sz w:val="24"/>
                <w:szCs w:val="24"/>
                <w:u w:val="single"/>
                <w:lang w:eastAsia="hr-HR"/>
              </w:rPr>
            </w:pPr>
          </w:p>
        </w:tc>
      </w:tr>
      <w:tr w14:paraId="2B1F1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275" w:type="pct"/>
            <w:shd w:val="clear" w:color="auto" w:fill="FFFFFF"/>
            <w:noWrap/>
            <w:vAlign w:val="center"/>
          </w:tcPr>
          <w:p w14:paraId="045FF71A">
            <w:pPr>
              <w:spacing w:after="0" w:line="240" w:lineRule="auto"/>
              <w:rPr>
                <w:rFonts w:ascii="Times New Roman" w:hAnsi="Times New Roman" w:eastAsia="Times New Roman"/>
                <w:sz w:val="24"/>
                <w:szCs w:val="24"/>
                <w:lang w:eastAsia="hr-HR"/>
              </w:rPr>
            </w:pPr>
            <w:r>
              <w:rPr>
                <w:rFonts w:ascii="Times New Roman" w:hAnsi="Times New Roman" w:eastAsia="Times New Roman"/>
                <w:sz w:val="24"/>
                <w:szCs w:val="24"/>
                <w:lang w:eastAsia="hr-HR"/>
              </w:rPr>
              <w:t>7.</w:t>
            </w:r>
          </w:p>
        </w:tc>
        <w:tc>
          <w:tcPr>
            <w:tcW w:w="2013" w:type="pct"/>
            <w:shd w:val="clear" w:color="000000" w:fill="FFFFFF"/>
            <w:noWrap/>
            <w:vAlign w:val="center"/>
          </w:tcPr>
          <w:p w14:paraId="709744C8">
            <w:pPr>
              <w:spacing w:after="0" w:line="240" w:lineRule="auto"/>
              <w:rPr>
                <w:rFonts w:ascii="Times New Roman" w:hAnsi="Times New Roman" w:eastAsia="Times New Roman"/>
                <w:sz w:val="24"/>
                <w:szCs w:val="24"/>
                <w:lang w:eastAsia="hr-HR"/>
              </w:rPr>
            </w:pPr>
            <w:r>
              <w:rPr>
                <w:rFonts w:ascii="Times New Roman" w:hAnsi="Times New Roman" w:eastAsia="Times New Roman"/>
                <w:sz w:val="24"/>
                <w:szCs w:val="24"/>
                <w:lang w:eastAsia="hr-HR"/>
              </w:rPr>
              <w:t>IBAN</w:t>
            </w:r>
          </w:p>
        </w:tc>
        <w:tc>
          <w:tcPr>
            <w:tcW w:w="2712" w:type="pct"/>
            <w:shd w:val="clear" w:color="000000" w:fill="FFFFFF"/>
            <w:vAlign w:val="center"/>
          </w:tcPr>
          <w:p w14:paraId="7636B087">
            <w:pPr>
              <w:spacing w:after="0" w:line="240" w:lineRule="auto"/>
              <w:rPr>
                <w:rFonts w:ascii="Times New Roman" w:hAnsi="Times New Roman" w:eastAsia="Times New Roman"/>
                <w:sz w:val="24"/>
                <w:szCs w:val="24"/>
                <w:lang w:eastAsia="hr-HR"/>
              </w:rPr>
            </w:pPr>
            <w:r>
              <w:rPr>
                <w:rFonts w:ascii="Times New Roman" w:hAnsi="Times New Roman"/>
                <w:bCs/>
                <w:sz w:val="24"/>
                <w:szCs w:val="24"/>
              </w:rPr>
              <w:t>Ispis banke o poslovnom računu s pripadajućim IBAN brojem</w:t>
            </w:r>
          </w:p>
        </w:tc>
      </w:tr>
      <w:tr w14:paraId="14092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3" w:hRule="atLeast"/>
          <w:jc w:val="center"/>
        </w:trPr>
        <w:tc>
          <w:tcPr>
            <w:tcW w:w="275" w:type="pct"/>
            <w:shd w:val="clear" w:color="auto" w:fill="FFFFFF"/>
            <w:noWrap/>
            <w:vAlign w:val="center"/>
          </w:tcPr>
          <w:p w14:paraId="63FEF653">
            <w:pPr>
              <w:spacing w:after="0" w:line="240" w:lineRule="auto"/>
              <w:rPr>
                <w:rFonts w:ascii="Times New Roman" w:hAnsi="Times New Roman" w:eastAsia="Times New Roman"/>
                <w:sz w:val="24"/>
                <w:szCs w:val="24"/>
                <w:lang w:eastAsia="hr-HR"/>
              </w:rPr>
            </w:pPr>
            <w:r>
              <w:rPr>
                <w:rFonts w:ascii="Times New Roman" w:hAnsi="Times New Roman" w:eastAsia="Times New Roman"/>
                <w:sz w:val="24"/>
                <w:szCs w:val="24"/>
                <w:lang w:eastAsia="hr-HR"/>
              </w:rPr>
              <w:t>8.</w:t>
            </w:r>
          </w:p>
        </w:tc>
        <w:tc>
          <w:tcPr>
            <w:tcW w:w="2013"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73CB5B4">
            <w:pPr>
              <w:spacing w:after="0" w:line="240" w:lineRule="auto"/>
              <w:rPr>
                <w:rFonts w:ascii="Times New Roman" w:hAnsi="Times New Roman"/>
                <w:sz w:val="24"/>
                <w:szCs w:val="24"/>
              </w:rPr>
            </w:pPr>
            <w:r>
              <w:rPr>
                <w:rFonts w:ascii="Times New Roman" w:hAnsi="Times New Roman"/>
                <w:sz w:val="24"/>
                <w:szCs w:val="24"/>
              </w:rPr>
              <w:t xml:space="preserve">Vlasnički list ili Ugovor o najmu (za lovačke domove) </w:t>
            </w:r>
          </w:p>
          <w:p w14:paraId="7F139546">
            <w:pPr>
              <w:spacing w:after="0" w:line="240" w:lineRule="auto"/>
              <w:rPr>
                <w:rFonts w:ascii="Times New Roman" w:hAnsi="Times New Roman" w:eastAsia="Times New Roman"/>
                <w:sz w:val="24"/>
                <w:szCs w:val="24"/>
                <w:lang w:eastAsia="hr-HR"/>
              </w:rPr>
            </w:pPr>
            <w:r>
              <w:rPr>
                <w:rFonts w:ascii="Times New Roman" w:hAnsi="Times New Roman"/>
                <w:b/>
                <w:bCs/>
                <w:sz w:val="24"/>
                <w:szCs w:val="24"/>
              </w:rPr>
              <w:t>za Aktivnosti :  1.1., 1.2.</w:t>
            </w:r>
          </w:p>
        </w:tc>
        <w:tc>
          <w:tcPr>
            <w:tcW w:w="2712" w:type="pct"/>
            <w:tcBorders>
              <w:top w:val="single" w:color="auto" w:sz="4" w:space="0"/>
              <w:left w:val="single" w:color="auto" w:sz="4" w:space="0"/>
              <w:bottom w:val="single" w:color="auto" w:sz="4" w:space="0"/>
              <w:right w:val="single" w:color="000000" w:sz="4" w:space="0"/>
            </w:tcBorders>
            <w:shd w:val="clear" w:color="000000" w:fill="FFFFFF"/>
            <w:vAlign w:val="center"/>
          </w:tcPr>
          <w:p w14:paraId="2D52AB4C">
            <w:pPr>
              <w:spacing w:after="0" w:line="240" w:lineRule="auto"/>
              <w:rPr>
                <w:rFonts w:ascii="Times New Roman" w:hAnsi="Times New Roman"/>
                <w:sz w:val="24"/>
                <w:szCs w:val="24"/>
              </w:rPr>
            </w:pPr>
          </w:p>
          <w:p w14:paraId="578248AB">
            <w:pPr>
              <w:spacing w:after="0" w:line="240" w:lineRule="auto"/>
              <w:rPr>
                <w:rFonts w:ascii="Times New Roman" w:hAnsi="Times New Roman"/>
                <w:sz w:val="24"/>
                <w:szCs w:val="24"/>
              </w:rPr>
            </w:pPr>
            <w:r>
              <w:rPr>
                <w:rFonts w:ascii="Times New Roman" w:hAnsi="Times New Roman"/>
                <w:sz w:val="24"/>
                <w:szCs w:val="24"/>
              </w:rPr>
              <w:t>Preslika Vlasničkog lista ili Ugovora o najmu najmanje na pet (5) godina ili dokaz da je objekt izgrađen prije 1968. godine</w:t>
            </w:r>
          </w:p>
          <w:p w14:paraId="3C2A9B97">
            <w:pPr>
              <w:spacing w:after="0" w:line="240" w:lineRule="auto"/>
              <w:rPr>
                <w:rFonts w:ascii="Times New Roman" w:hAnsi="Times New Roman"/>
                <w:sz w:val="24"/>
                <w:szCs w:val="24"/>
                <w:lang w:eastAsia="hr-HR"/>
              </w:rPr>
            </w:pPr>
          </w:p>
          <w:p w14:paraId="499FD708">
            <w:pPr>
              <w:spacing w:after="0" w:line="240" w:lineRule="auto"/>
              <w:rPr>
                <w:rFonts w:ascii="Times New Roman" w:hAnsi="Times New Roman"/>
                <w:sz w:val="24"/>
                <w:szCs w:val="24"/>
                <w:lang w:eastAsia="hr-HR"/>
              </w:rPr>
            </w:pPr>
          </w:p>
        </w:tc>
      </w:tr>
      <w:tr w14:paraId="2E7CE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3" w:hRule="atLeast"/>
          <w:jc w:val="center"/>
        </w:trPr>
        <w:tc>
          <w:tcPr>
            <w:tcW w:w="275" w:type="pct"/>
            <w:shd w:val="clear" w:color="auto" w:fill="FFFFFF"/>
            <w:noWrap/>
            <w:vAlign w:val="center"/>
          </w:tcPr>
          <w:p w14:paraId="3EF5F42C">
            <w:pPr>
              <w:spacing w:after="0" w:line="240" w:lineRule="auto"/>
              <w:rPr>
                <w:rFonts w:ascii="Times New Roman" w:hAnsi="Times New Roman" w:eastAsia="Times New Roman"/>
                <w:sz w:val="24"/>
                <w:szCs w:val="24"/>
                <w:lang w:eastAsia="hr-HR"/>
              </w:rPr>
            </w:pPr>
            <w:r>
              <w:rPr>
                <w:rFonts w:ascii="Times New Roman" w:hAnsi="Times New Roman" w:eastAsia="Times New Roman"/>
                <w:sz w:val="24"/>
                <w:szCs w:val="24"/>
                <w:lang w:eastAsia="hr-HR"/>
              </w:rPr>
              <w:t>9.</w:t>
            </w:r>
          </w:p>
        </w:tc>
        <w:tc>
          <w:tcPr>
            <w:tcW w:w="2013"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CA5002A">
            <w:pPr>
              <w:spacing w:after="0" w:line="240" w:lineRule="auto"/>
              <w:rPr>
                <w:rFonts w:ascii="Times New Roman" w:hAnsi="Times New Roman"/>
                <w:sz w:val="24"/>
                <w:szCs w:val="24"/>
              </w:rPr>
            </w:pPr>
            <w:r>
              <w:rPr>
                <w:rFonts w:ascii="Times New Roman" w:hAnsi="Times New Roman"/>
                <w:sz w:val="24"/>
                <w:szCs w:val="24"/>
              </w:rPr>
              <w:t xml:space="preserve">Dokaz o kupnji, te zdravstvenom stanju divljači i ispuštanju divljači u lovište </w:t>
            </w:r>
            <w:r>
              <w:rPr>
                <w:rFonts w:ascii="Times New Roman" w:hAnsi="Times New Roman"/>
                <w:b/>
                <w:bCs/>
                <w:sz w:val="24"/>
                <w:szCs w:val="24"/>
              </w:rPr>
              <w:t>za Aktivnost 1.4.</w:t>
            </w:r>
          </w:p>
        </w:tc>
        <w:tc>
          <w:tcPr>
            <w:tcW w:w="2712" w:type="pct"/>
            <w:tcBorders>
              <w:top w:val="single" w:color="auto" w:sz="4" w:space="0"/>
              <w:left w:val="single" w:color="auto" w:sz="4" w:space="0"/>
              <w:bottom w:val="single" w:color="auto" w:sz="4" w:space="0"/>
              <w:right w:val="single" w:color="000000" w:sz="4" w:space="0"/>
            </w:tcBorders>
            <w:shd w:val="clear" w:color="000000" w:fill="FFFFFF"/>
            <w:vAlign w:val="center"/>
          </w:tcPr>
          <w:p w14:paraId="2D764D36">
            <w:pPr>
              <w:spacing w:after="0" w:line="240" w:lineRule="auto"/>
              <w:rPr>
                <w:rFonts w:ascii="Times New Roman" w:hAnsi="Times New Roman"/>
                <w:sz w:val="24"/>
                <w:szCs w:val="24"/>
              </w:rPr>
            </w:pPr>
            <w:r>
              <w:rPr>
                <w:rFonts w:ascii="Times New Roman" w:hAnsi="Times New Roman"/>
                <w:sz w:val="24"/>
                <w:szCs w:val="24"/>
              </w:rPr>
              <w:t xml:space="preserve">Preslika računa ispostavljenog na prijavitelja plaćenog s poslovnog računa prijavitelja (uz potvrdu banke o izvršenom plaćanju ili bankovni izvod o izvršenom plaćanju) za nabavku divljači, preslika veterinarskog uvjerenja o zdravstvenom stanju unesene divljači i preslika zapisnika o ispuštanju divljači u lovište  </w:t>
            </w:r>
          </w:p>
        </w:tc>
      </w:tr>
    </w:tbl>
    <w:p w14:paraId="08808496">
      <w:pPr>
        <w:spacing w:after="0" w:line="240" w:lineRule="auto"/>
        <w:jc w:val="both"/>
        <w:rPr>
          <w:rFonts w:ascii="Times New Roman" w:hAnsi="Times New Roman"/>
          <w:i/>
          <w:sz w:val="24"/>
          <w:szCs w:val="24"/>
        </w:rPr>
      </w:pPr>
      <w:r>
        <w:rPr>
          <w:rFonts w:ascii="Times New Roman" w:hAnsi="Times New Roman"/>
          <w:i/>
          <w:sz w:val="24"/>
          <w:szCs w:val="24"/>
        </w:rPr>
        <w:t>Za svu dokumentaciju koja se dostavlja u kopiji, Županija može tražiti uvid u originalnu dokumentaciju, što joj je prijavitelj dužan omogućiti.</w:t>
      </w:r>
    </w:p>
    <w:p w14:paraId="456B20D8">
      <w:pPr>
        <w:pStyle w:val="39"/>
        <w:spacing w:after="0" w:line="240" w:lineRule="auto"/>
        <w:ind w:left="0"/>
        <w:jc w:val="both"/>
        <w:rPr>
          <w:rFonts w:ascii="Times New Roman" w:hAnsi="Times New Roman"/>
          <w:b/>
          <w:sz w:val="24"/>
          <w:szCs w:val="24"/>
        </w:rPr>
      </w:pPr>
    </w:p>
    <w:p w14:paraId="28EE1C3C">
      <w:pPr>
        <w:pStyle w:val="39"/>
        <w:numPr>
          <w:ilvl w:val="0"/>
          <w:numId w:val="1"/>
        </w:numPr>
        <w:spacing w:after="0" w:line="240" w:lineRule="auto"/>
        <w:ind w:left="426" w:hanging="426"/>
        <w:jc w:val="both"/>
        <w:rPr>
          <w:rFonts w:ascii="Times New Roman" w:hAnsi="Times New Roman"/>
          <w:sz w:val="24"/>
          <w:szCs w:val="24"/>
        </w:rPr>
      </w:pPr>
      <w:r>
        <w:rPr>
          <w:rFonts w:ascii="Times New Roman" w:hAnsi="Times New Roman"/>
          <w:b/>
          <w:sz w:val="24"/>
          <w:szCs w:val="24"/>
        </w:rPr>
        <w:t>OCJENA PRIJAVA, PRAVO PRIGOVORA, DONOŠENJE ODLUKE O DODJELI BESPOVRATNIH NOVČANIH POTPORA, VIDLJIVOST, UGOVARANJE I IZVJEŠTAVANJE</w:t>
      </w:r>
    </w:p>
    <w:p w14:paraId="51BDF267">
      <w:pPr>
        <w:pStyle w:val="39"/>
        <w:spacing w:after="0" w:line="240" w:lineRule="auto"/>
        <w:ind w:left="0"/>
        <w:jc w:val="both"/>
        <w:rPr>
          <w:rFonts w:ascii="Times New Roman" w:hAnsi="Times New Roman"/>
          <w:sz w:val="24"/>
          <w:szCs w:val="24"/>
        </w:rPr>
      </w:pPr>
    </w:p>
    <w:tbl>
      <w:tblPr>
        <w:tblStyle w:val="13"/>
        <w:tblW w:w="5000" w:type="pct"/>
        <w:tblInd w:w="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autofit"/>
        <w:tblCellMar>
          <w:top w:w="28" w:type="dxa"/>
          <w:left w:w="113" w:type="dxa"/>
          <w:bottom w:w="28" w:type="dxa"/>
          <w:right w:w="0" w:type="dxa"/>
        </w:tblCellMar>
      </w:tblPr>
      <w:tblGrid>
        <w:gridCol w:w="9899"/>
      </w:tblGrid>
      <w:tr w14:paraId="0E83973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28" w:type="dxa"/>
            <w:left w:w="113" w:type="dxa"/>
            <w:bottom w:w="28" w:type="dxa"/>
            <w:right w:w="0" w:type="dxa"/>
          </w:tblCellMar>
        </w:tblPrEx>
        <w:trPr>
          <w:trHeight w:val="478" w:hRule="exact"/>
        </w:trPr>
        <w:tc>
          <w:tcPr>
            <w:tcW w:w="5000" w:type="pct"/>
            <w:tcBorders>
              <w:top w:val="single" w:color="auto" w:sz="4" w:space="0"/>
              <w:left w:val="single" w:color="auto" w:sz="4" w:space="0"/>
              <w:bottom w:val="single" w:color="auto" w:sz="4" w:space="0"/>
              <w:right w:val="single" w:color="auto" w:sz="4" w:space="0"/>
            </w:tcBorders>
            <w:shd w:val="clear" w:color="auto" w:fill="E7E6E6" w:themeFill="background2"/>
            <w:vAlign w:val="center"/>
          </w:tcPr>
          <w:p w14:paraId="7F0933A1">
            <w:pPr>
              <w:widowControl w:val="0"/>
              <w:suppressLineNumbers/>
              <w:shd w:val="clear" w:color="auto" w:fill="E7E6E6" w:themeFill="background2"/>
              <w:snapToGrid w:val="0"/>
              <w:rPr>
                <w:rFonts w:ascii="Times New Roman" w:hAnsi="Times New Roman"/>
                <w:b/>
                <w:bCs/>
                <w:sz w:val="24"/>
                <w:szCs w:val="24"/>
              </w:rPr>
            </w:pPr>
            <w:r>
              <w:rPr>
                <w:rFonts w:ascii="Times New Roman" w:hAnsi="Times New Roman"/>
                <w:b/>
                <w:sz w:val="24"/>
                <w:szCs w:val="24"/>
              </w:rPr>
              <w:t>Pregled prijava u odnosu na propisane uvjete Javnog poziva</w:t>
            </w:r>
          </w:p>
          <w:p w14:paraId="1F0E9C01">
            <w:pPr>
              <w:widowControl w:val="0"/>
              <w:suppressLineNumbers/>
              <w:snapToGrid w:val="0"/>
              <w:rPr>
                <w:rFonts w:ascii="Times New Roman" w:hAnsi="Times New Roman"/>
                <w:b/>
                <w:bCs/>
                <w:sz w:val="24"/>
                <w:szCs w:val="24"/>
              </w:rPr>
            </w:pPr>
            <w:r>
              <w:rPr>
                <w:rFonts w:ascii="Times New Roman" w:hAnsi="Times New Roman"/>
                <w:b/>
                <w:bCs/>
                <w:sz w:val="24"/>
                <w:szCs w:val="24"/>
              </w:rPr>
              <w:t>I. OSNOVNI PODACI O PODNOSITELJU PRIJAVE PROGRAMA</w:t>
            </w:r>
          </w:p>
        </w:tc>
      </w:tr>
    </w:tbl>
    <w:p w14:paraId="694D3CC6">
      <w:pPr>
        <w:spacing w:after="0" w:line="240" w:lineRule="auto"/>
        <w:jc w:val="both"/>
        <w:rPr>
          <w:rFonts w:ascii="Times New Roman" w:hAnsi="Times New Roman"/>
          <w:sz w:val="24"/>
          <w:szCs w:val="24"/>
        </w:rPr>
      </w:pPr>
    </w:p>
    <w:p w14:paraId="53215451">
      <w:pPr>
        <w:spacing w:after="0" w:line="240" w:lineRule="auto"/>
        <w:jc w:val="both"/>
        <w:rPr>
          <w:rFonts w:ascii="Times New Roman" w:hAnsi="Times New Roman"/>
          <w:sz w:val="24"/>
          <w:szCs w:val="24"/>
        </w:rPr>
      </w:pPr>
      <w:r>
        <w:rPr>
          <w:rFonts w:ascii="Times New Roman" w:hAnsi="Times New Roman"/>
          <w:sz w:val="24"/>
          <w:szCs w:val="24"/>
        </w:rPr>
        <w:t>Prijava se smatra potpunom ukoliko sadrži obrazac prijave i sve obvezne priloge kako je navedeno u Odluci, Javnom pozivu i ovim Uputama.</w:t>
      </w:r>
    </w:p>
    <w:p w14:paraId="64D50267">
      <w:pPr>
        <w:spacing w:after="0" w:line="240" w:lineRule="auto"/>
        <w:jc w:val="both"/>
        <w:rPr>
          <w:rFonts w:ascii="Times New Roman" w:hAnsi="Times New Roman"/>
          <w:sz w:val="24"/>
          <w:szCs w:val="24"/>
        </w:rPr>
      </w:pPr>
    </w:p>
    <w:tbl>
      <w:tblPr>
        <w:tblStyle w:val="13"/>
        <w:tblW w:w="5000" w:type="pct"/>
        <w:tblInd w:w="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autofit"/>
        <w:tblCellMar>
          <w:top w:w="28" w:type="dxa"/>
          <w:left w:w="113" w:type="dxa"/>
          <w:bottom w:w="28" w:type="dxa"/>
          <w:right w:w="0" w:type="dxa"/>
        </w:tblCellMar>
      </w:tblPr>
      <w:tblGrid>
        <w:gridCol w:w="9899"/>
      </w:tblGrid>
      <w:tr w14:paraId="0F37635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28" w:type="dxa"/>
            <w:left w:w="113" w:type="dxa"/>
            <w:bottom w:w="28" w:type="dxa"/>
            <w:right w:w="0" w:type="dxa"/>
          </w:tblCellMar>
        </w:tblPrEx>
        <w:trPr>
          <w:trHeight w:val="473" w:hRule="exact"/>
        </w:trPr>
        <w:tc>
          <w:tcPr>
            <w:tcW w:w="5000" w:type="pct"/>
            <w:tcBorders>
              <w:top w:val="single" w:color="auto" w:sz="4" w:space="0"/>
              <w:left w:val="single" w:color="auto" w:sz="4" w:space="0"/>
              <w:bottom w:val="single" w:color="auto" w:sz="4" w:space="0"/>
              <w:right w:val="single" w:color="auto" w:sz="4" w:space="0"/>
            </w:tcBorders>
            <w:shd w:val="clear" w:color="auto" w:fill="E7E6E6" w:themeFill="background2"/>
            <w:vAlign w:val="center"/>
          </w:tcPr>
          <w:p w14:paraId="34B141D5">
            <w:pPr>
              <w:spacing w:after="0" w:line="240" w:lineRule="auto"/>
              <w:rPr>
                <w:rFonts w:ascii="Times New Roman" w:hAnsi="Times New Roman"/>
                <w:b/>
                <w:bCs/>
                <w:sz w:val="24"/>
                <w:szCs w:val="24"/>
              </w:rPr>
            </w:pPr>
            <w:r>
              <w:rPr>
                <w:rFonts w:ascii="Times New Roman" w:hAnsi="Times New Roman"/>
                <w:b/>
                <w:bCs/>
                <w:sz w:val="24"/>
                <w:szCs w:val="24"/>
              </w:rPr>
              <w:t>Povjerenstva</w:t>
            </w:r>
          </w:p>
        </w:tc>
      </w:tr>
    </w:tbl>
    <w:p w14:paraId="5AEAEE13">
      <w:pPr>
        <w:spacing w:after="0" w:line="240" w:lineRule="auto"/>
        <w:jc w:val="both"/>
        <w:rPr>
          <w:rFonts w:ascii="Times New Roman" w:hAnsi="Times New Roman"/>
          <w:bCs/>
          <w:sz w:val="24"/>
          <w:szCs w:val="24"/>
        </w:rPr>
      </w:pPr>
    </w:p>
    <w:p w14:paraId="01BC3735">
      <w:pPr>
        <w:spacing w:after="0" w:line="240" w:lineRule="auto"/>
        <w:jc w:val="both"/>
        <w:rPr>
          <w:rFonts w:ascii="Times New Roman" w:hAnsi="Times New Roman" w:eastAsia="Times New Roman"/>
          <w:bCs/>
          <w:sz w:val="24"/>
          <w:szCs w:val="24"/>
          <w:lang w:eastAsia="hr-HR"/>
        </w:rPr>
      </w:pPr>
      <w:r>
        <w:rPr>
          <w:rFonts w:ascii="Times New Roman" w:hAnsi="Times New Roman" w:eastAsia="Times New Roman"/>
          <w:bCs/>
          <w:sz w:val="24"/>
          <w:szCs w:val="24"/>
          <w:lang w:eastAsia="hr-HR"/>
        </w:rPr>
        <w:t xml:space="preserve">U svrhu provedbe Javnog poziva župan imenuje Povjerenstvo za provjeru ispunjavanja propisanih uvjeta Javnog poziva i Povjerenstvo za ocjenjivanje prijava. Oba Povjerenstva čine po 3 (tri) člana, koji potpisuju Izjave o nepristranosti i povjerljivosti.  </w:t>
      </w:r>
    </w:p>
    <w:p w14:paraId="2C9E99BD">
      <w:pPr>
        <w:spacing w:after="0" w:line="240" w:lineRule="auto"/>
        <w:jc w:val="both"/>
        <w:rPr>
          <w:rFonts w:ascii="Times New Roman" w:hAnsi="Times New Roman"/>
          <w:bCs/>
          <w:sz w:val="24"/>
          <w:szCs w:val="24"/>
        </w:rPr>
      </w:pPr>
    </w:p>
    <w:p w14:paraId="5B7CA4F4">
      <w:pPr>
        <w:spacing w:after="0" w:line="240" w:lineRule="auto"/>
        <w:jc w:val="both"/>
        <w:rPr>
          <w:rFonts w:ascii="Times New Roman" w:hAnsi="Times New Roman" w:eastAsia="Times New Roman"/>
          <w:bCs/>
          <w:sz w:val="24"/>
          <w:szCs w:val="24"/>
          <w:lang w:eastAsia="hr-HR"/>
        </w:rPr>
      </w:pPr>
      <w:r>
        <w:rPr>
          <w:rFonts w:ascii="Times New Roman" w:hAnsi="Times New Roman" w:eastAsia="Times New Roman"/>
          <w:b/>
          <w:bCs/>
          <w:sz w:val="24"/>
          <w:szCs w:val="24"/>
          <w:lang w:eastAsia="hr-HR"/>
        </w:rPr>
        <w:t>Povjerenstvo za provjeru ispunjavanja propisanih uvjeta Javnog poziva utvrđuje:</w:t>
      </w:r>
    </w:p>
    <w:p w14:paraId="57D10572">
      <w:pPr>
        <w:spacing w:after="0" w:line="240" w:lineRule="auto"/>
        <w:ind w:firstLine="426"/>
        <w:jc w:val="both"/>
        <w:rPr>
          <w:rFonts w:ascii="Times New Roman" w:hAnsi="Times New Roman" w:eastAsia="Times New Roman"/>
          <w:bCs/>
          <w:sz w:val="24"/>
          <w:szCs w:val="24"/>
          <w:lang w:eastAsia="hr-HR"/>
        </w:rPr>
      </w:pPr>
      <w:r>
        <w:rPr>
          <w:rFonts w:ascii="Times New Roman" w:hAnsi="Times New Roman" w:eastAsia="Times New Roman"/>
          <w:bCs/>
          <w:sz w:val="24"/>
          <w:szCs w:val="24"/>
          <w:lang w:eastAsia="hr-HR"/>
        </w:rPr>
        <w:t xml:space="preserve">- je li prijava dostavljena u zadanom roku </w:t>
      </w:r>
    </w:p>
    <w:p w14:paraId="08CADA55">
      <w:pPr>
        <w:spacing w:after="0" w:line="240" w:lineRule="auto"/>
        <w:ind w:firstLine="426"/>
        <w:jc w:val="both"/>
        <w:rPr>
          <w:rFonts w:ascii="Times New Roman" w:hAnsi="Times New Roman" w:eastAsia="Times New Roman"/>
          <w:bCs/>
          <w:sz w:val="24"/>
          <w:szCs w:val="24"/>
          <w:lang w:eastAsia="hr-HR"/>
        </w:rPr>
      </w:pPr>
      <w:r>
        <w:rPr>
          <w:rFonts w:ascii="Times New Roman" w:hAnsi="Times New Roman" w:eastAsia="Times New Roman"/>
          <w:bCs/>
          <w:sz w:val="24"/>
          <w:szCs w:val="24"/>
          <w:lang w:eastAsia="hr-HR"/>
        </w:rPr>
        <w:t xml:space="preserve">- jesu li dostavljeni, potpisani i ovjereni svi obvezni obrasci </w:t>
      </w:r>
    </w:p>
    <w:p w14:paraId="6926A247">
      <w:pPr>
        <w:spacing w:after="0" w:line="240" w:lineRule="auto"/>
        <w:ind w:firstLine="426"/>
        <w:jc w:val="both"/>
        <w:rPr>
          <w:rFonts w:ascii="Times New Roman" w:hAnsi="Times New Roman" w:eastAsia="Times New Roman"/>
          <w:bCs/>
          <w:sz w:val="24"/>
          <w:szCs w:val="24"/>
          <w:lang w:eastAsia="hr-HR"/>
        </w:rPr>
      </w:pPr>
      <w:r>
        <w:rPr>
          <w:rFonts w:ascii="Times New Roman" w:hAnsi="Times New Roman" w:eastAsia="Times New Roman"/>
          <w:bCs/>
          <w:sz w:val="24"/>
          <w:szCs w:val="24"/>
          <w:lang w:eastAsia="hr-HR"/>
        </w:rPr>
        <w:t xml:space="preserve">- je li dostavljena sva obvezna popratna dokumentacija </w:t>
      </w:r>
    </w:p>
    <w:p w14:paraId="0A2C6EDD">
      <w:pPr>
        <w:spacing w:after="0" w:line="240" w:lineRule="auto"/>
        <w:ind w:firstLine="426"/>
        <w:jc w:val="both"/>
        <w:rPr>
          <w:rFonts w:ascii="Times New Roman" w:hAnsi="Times New Roman" w:eastAsia="Times New Roman"/>
          <w:bCs/>
          <w:sz w:val="24"/>
          <w:szCs w:val="24"/>
          <w:lang w:eastAsia="hr-HR"/>
        </w:rPr>
      </w:pPr>
      <w:r>
        <w:rPr>
          <w:rFonts w:ascii="Times New Roman" w:hAnsi="Times New Roman" w:eastAsia="Times New Roman"/>
          <w:bCs/>
          <w:sz w:val="24"/>
          <w:szCs w:val="24"/>
          <w:lang w:eastAsia="hr-HR"/>
        </w:rPr>
        <w:t xml:space="preserve">- </w:t>
      </w:r>
      <w:bookmarkStart w:id="19" w:name="_Hlk171322676"/>
      <w:r>
        <w:rPr>
          <w:rFonts w:ascii="Times New Roman" w:hAnsi="Times New Roman" w:eastAsia="Times New Roman"/>
          <w:bCs/>
          <w:sz w:val="24"/>
          <w:szCs w:val="24"/>
          <w:lang w:eastAsia="hr-HR"/>
        </w:rPr>
        <w:t xml:space="preserve">je li zatraženi iznos bespovratnih novčanih potpora u skladu s intenzitetom propisanim  </w:t>
      </w:r>
    </w:p>
    <w:p w14:paraId="65A5CB6E">
      <w:pPr>
        <w:spacing w:after="0" w:line="240" w:lineRule="auto"/>
        <w:ind w:firstLine="426"/>
        <w:jc w:val="both"/>
        <w:rPr>
          <w:rFonts w:ascii="Times New Roman" w:hAnsi="Times New Roman" w:eastAsia="Times New Roman"/>
          <w:bCs/>
          <w:sz w:val="24"/>
          <w:szCs w:val="24"/>
          <w:lang w:eastAsia="hr-HR"/>
        </w:rPr>
      </w:pPr>
      <w:r>
        <w:rPr>
          <w:rFonts w:ascii="Times New Roman" w:hAnsi="Times New Roman" w:eastAsia="Times New Roman"/>
          <w:bCs/>
          <w:sz w:val="24"/>
          <w:szCs w:val="24"/>
          <w:lang w:eastAsia="hr-HR"/>
        </w:rPr>
        <w:t xml:space="preserve">  u Javnom pozivu i ovim Uputama za prijavitelje  </w:t>
      </w:r>
      <w:bookmarkEnd w:id="19"/>
    </w:p>
    <w:p w14:paraId="247A2F2D">
      <w:pPr>
        <w:spacing w:after="0" w:line="240" w:lineRule="auto"/>
        <w:ind w:firstLine="426"/>
        <w:jc w:val="both"/>
        <w:rPr>
          <w:rFonts w:ascii="Times New Roman" w:hAnsi="Times New Roman" w:eastAsia="Times New Roman"/>
          <w:bCs/>
          <w:sz w:val="24"/>
          <w:szCs w:val="24"/>
          <w:lang w:eastAsia="hr-HR"/>
        </w:rPr>
      </w:pPr>
      <w:r>
        <w:rPr>
          <w:rFonts w:ascii="Times New Roman" w:hAnsi="Times New Roman" w:eastAsia="Times New Roman"/>
          <w:bCs/>
          <w:sz w:val="24"/>
          <w:szCs w:val="24"/>
          <w:lang w:eastAsia="hr-HR"/>
        </w:rPr>
        <w:t xml:space="preserve">- je li prijavitelj prihvatljiv sukladno Odluci, Javnom pozivu i Uputama za prijavitelje </w:t>
      </w:r>
    </w:p>
    <w:p w14:paraId="7E70A09E">
      <w:pPr>
        <w:spacing w:after="0" w:line="240" w:lineRule="auto"/>
        <w:ind w:firstLine="426"/>
        <w:jc w:val="both"/>
        <w:rPr>
          <w:rFonts w:ascii="Times New Roman" w:hAnsi="Times New Roman" w:eastAsia="Times New Roman"/>
          <w:bCs/>
          <w:sz w:val="24"/>
          <w:szCs w:val="24"/>
          <w:lang w:eastAsia="hr-HR"/>
        </w:rPr>
      </w:pPr>
      <w:r>
        <w:rPr>
          <w:rFonts w:ascii="Times New Roman" w:hAnsi="Times New Roman" w:eastAsia="Times New Roman"/>
          <w:bCs/>
          <w:sz w:val="24"/>
          <w:szCs w:val="24"/>
          <w:lang w:eastAsia="hr-HR"/>
        </w:rPr>
        <w:t xml:space="preserve">- je li lokacija provedbe projekta prihvatljiva </w:t>
      </w:r>
    </w:p>
    <w:p w14:paraId="41CED458">
      <w:pPr>
        <w:spacing w:after="0" w:line="240" w:lineRule="auto"/>
        <w:ind w:firstLine="426"/>
        <w:jc w:val="both"/>
        <w:rPr>
          <w:rFonts w:ascii="Times New Roman" w:hAnsi="Times New Roman" w:eastAsia="Times New Roman"/>
          <w:bCs/>
          <w:sz w:val="24"/>
          <w:szCs w:val="24"/>
          <w:lang w:eastAsia="hr-HR"/>
        </w:rPr>
      </w:pPr>
      <w:r>
        <w:rPr>
          <w:rFonts w:ascii="Times New Roman" w:hAnsi="Times New Roman" w:eastAsia="Times New Roman"/>
          <w:bCs/>
          <w:sz w:val="24"/>
          <w:szCs w:val="24"/>
          <w:lang w:eastAsia="hr-HR"/>
        </w:rPr>
        <w:t xml:space="preserve">- jesu li predložene aktivnosti prihvatljive </w:t>
      </w:r>
    </w:p>
    <w:p w14:paraId="36B5130E">
      <w:pPr>
        <w:spacing w:after="0" w:line="240" w:lineRule="auto"/>
        <w:ind w:firstLine="426"/>
        <w:jc w:val="both"/>
        <w:rPr>
          <w:rFonts w:ascii="Times New Roman" w:hAnsi="Times New Roman" w:eastAsia="Times New Roman"/>
          <w:bCs/>
          <w:sz w:val="24"/>
          <w:szCs w:val="24"/>
          <w:lang w:eastAsia="hr-HR"/>
        </w:rPr>
      </w:pPr>
      <w:r>
        <w:rPr>
          <w:rFonts w:ascii="Times New Roman" w:hAnsi="Times New Roman" w:eastAsia="Times New Roman"/>
          <w:bCs/>
          <w:sz w:val="24"/>
          <w:szCs w:val="24"/>
          <w:lang w:eastAsia="hr-HR"/>
        </w:rPr>
        <w:t xml:space="preserve">- ispunjavanje drugih propisanih uvjeta iz Odluke, Javnog poziva i Uputa za prijavitelje </w:t>
      </w:r>
    </w:p>
    <w:p w14:paraId="5BA8C6D1">
      <w:pPr>
        <w:spacing w:after="0" w:line="240" w:lineRule="auto"/>
        <w:ind w:firstLine="426"/>
        <w:jc w:val="both"/>
        <w:rPr>
          <w:rFonts w:ascii="Times New Roman" w:hAnsi="Times New Roman" w:eastAsia="Times New Roman"/>
          <w:bCs/>
          <w:sz w:val="24"/>
          <w:szCs w:val="24"/>
          <w:lang w:eastAsia="hr-HR"/>
        </w:rPr>
      </w:pPr>
    </w:p>
    <w:p w14:paraId="36CBCCD6">
      <w:pPr>
        <w:spacing w:after="0" w:line="240" w:lineRule="auto"/>
        <w:jc w:val="both"/>
        <w:rPr>
          <w:rFonts w:ascii="Times New Roman" w:hAnsi="Times New Roman" w:eastAsia="Times New Roman"/>
          <w:bCs/>
          <w:sz w:val="24"/>
          <w:szCs w:val="24"/>
          <w:lang w:eastAsia="hr-HR"/>
        </w:rPr>
      </w:pPr>
      <w:bookmarkStart w:id="20" w:name="_Hlk171419907"/>
      <w:r>
        <w:rPr>
          <w:rFonts w:ascii="Times New Roman" w:hAnsi="Times New Roman" w:eastAsia="Times New Roman"/>
          <w:bCs/>
          <w:sz w:val="24"/>
          <w:szCs w:val="24"/>
          <w:lang w:eastAsia="hr-HR"/>
        </w:rPr>
        <w:t xml:space="preserve">Povjerenstvo za provjeru ispunjavanja propisanih uvjeta Javnog poziva </w:t>
      </w:r>
      <w:bookmarkEnd w:id="20"/>
      <w:r>
        <w:rPr>
          <w:rFonts w:ascii="Times New Roman" w:hAnsi="Times New Roman" w:eastAsia="Times New Roman"/>
          <w:bCs/>
          <w:sz w:val="24"/>
          <w:szCs w:val="24"/>
          <w:lang w:eastAsia="hr-HR"/>
        </w:rPr>
        <w:t xml:space="preserve">postupa u skladu s Poslovnikom o radu Povjerenstva kojeg donosi Povjerenstvo na svojoj 1. sjednici. O svom radu Povjerenstvo vodi Zapisnik, a sastavni dio Zapisnika su: Tablica ispunjenosti formalnih kriterija Javnog poziva i Tablica s popisom korisnika koji ne udovoljavaju uvjetima za dodjelu bespovratne novčane potpore s kratkim obrazloženjem ne odabira. Povjerenstvo za provjeru ispunjavanja propisanih uvjeta Javnog poziva može od prijavitelja zatražiti pojašnjenje vezano uz prijavu kao i priloženu dokumentaciju ukoliko se to pokaže potrebnim. </w:t>
      </w:r>
    </w:p>
    <w:p w14:paraId="437DF034">
      <w:pPr>
        <w:spacing w:after="0" w:line="240" w:lineRule="auto"/>
        <w:jc w:val="both"/>
        <w:rPr>
          <w:rFonts w:ascii="Times New Roman" w:hAnsi="Times New Roman" w:eastAsia="Times New Roman"/>
          <w:bCs/>
          <w:sz w:val="24"/>
          <w:szCs w:val="24"/>
          <w:lang w:eastAsia="hr-HR"/>
        </w:rPr>
      </w:pPr>
    </w:p>
    <w:p w14:paraId="5174D926">
      <w:pPr>
        <w:spacing w:after="0" w:line="240" w:lineRule="auto"/>
        <w:jc w:val="both"/>
        <w:rPr>
          <w:rFonts w:ascii="Times New Roman" w:hAnsi="Times New Roman"/>
          <w:b/>
          <w:bCs/>
          <w:sz w:val="24"/>
          <w:szCs w:val="24"/>
        </w:rPr>
      </w:pPr>
      <w:r>
        <w:rPr>
          <w:rFonts w:ascii="Times New Roman" w:hAnsi="Times New Roman"/>
          <w:b/>
          <w:bCs/>
          <w:sz w:val="24"/>
          <w:szCs w:val="24"/>
        </w:rPr>
        <w:t xml:space="preserve">Povjerenstvo za ocjenjivanje prijava obavlja sljedeće poslove: </w:t>
      </w:r>
    </w:p>
    <w:p w14:paraId="0ABB73FB">
      <w:pPr>
        <w:spacing w:after="0" w:line="240" w:lineRule="auto"/>
        <w:ind w:firstLine="708"/>
        <w:jc w:val="both"/>
        <w:rPr>
          <w:rFonts w:ascii="Times New Roman" w:hAnsi="Times New Roman"/>
          <w:bCs/>
          <w:sz w:val="24"/>
          <w:szCs w:val="24"/>
        </w:rPr>
      </w:pPr>
    </w:p>
    <w:p w14:paraId="545D0A3F">
      <w:pPr>
        <w:pStyle w:val="39"/>
        <w:numPr>
          <w:ilvl w:val="0"/>
          <w:numId w:val="9"/>
        </w:numPr>
        <w:spacing w:after="0" w:line="240" w:lineRule="auto"/>
        <w:jc w:val="both"/>
        <w:rPr>
          <w:rFonts w:ascii="Times New Roman" w:hAnsi="Times New Roman" w:eastAsia="Times New Roman"/>
          <w:bCs/>
          <w:sz w:val="24"/>
          <w:szCs w:val="24"/>
          <w:lang w:eastAsia="hr-HR"/>
        </w:rPr>
      </w:pPr>
      <w:r>
        <w:rPr>
          <w:rFonts w:ascii="Times New Roman" w:hAnsi="Times New Roman" w:eastAsia="Times New Roman"/>
          <w:bCs/>
          <w:sz w:val="24"/>
          <w:szCs w:val="24"/>
          <w:lang w:eastAsia="hr-HR"/>
        </w:rPr>
        <w:t xml:space="preserve">ocjenjivanje prijava koje su ispunile propisane (administrativne) uvjete Javnog poziva sukladno kriterijima propisanim </w:t>
      </w:r>
      <w:r>
        <w:rPr>
          <w:rFonts w:ascii="Times New Roman" w:hAnsi="Times New Roman" w:eastAsia="Times New Roman"/>
          <w:sz w:val="24"/>
          <w:szCs w:val="24"/>
          <w:lang w:eastAsia="hr-HR"/>
        </w:rPr>
        <w:t>Uputama za prijavitelje</w:t>
      </w:r>
      <w:r>
        <w:rPr>
          <w:rFonts w:ascii="Times New Roman" w:hAnsi="Times New Roman" w:eastAsia="Times New Roman"/>
          <w:b/>
          <w:bCs/>
          <w:sz w:val="24"/>
          <w:szCs w:val="24"/>
          <w:lang w:eastAsia="hr-HR"/>
        </w:rPr>
        <w:t xml:space="preserve"> </w:t>
      </w:r>
      <w:r>
        <w:rPr>
          <w:rFonts w:ascii="Times New Roman" w:hAnsi="Times New Roman" w:eastAsia="Times New Roman"/>
          <w:bCs/>
          <w:sz w:val="24"/>
          <w:szCs w:val="24"/>
          <w:lang w:eastAsia="hr-HR"/>
        </w:rPr>
        <w:t xml:space="preserve">koristeći Obrazac za ocjenu prijava  </w:t>
      </w:r>
    </w:p>
    <w:p w14:paraId="105EF738">
      <w:pPr>
        <w:pStyle w:val="39"/>
        <w:numPr>
          <w:ilvl w:val="0"/>
          <w:numId w:val="9"/>
        </w:numPr>
        <w:spacing w:after="0" w:line="240" w:lineRule="auto"/>
        <w:jc w:val="both"/>
        <w:rPr>
          <w:rFonts w:ascii="Times New Roman" w:hAnsi="Times New Roman" w:eastAsia="Times New Roman"/>
          <w:bCs/>
          <w:sz w:val="24"/>
          <w:szCs w:val="24"/>
          <w:lang w:eastAsia="hr-HR"/>
        </w:rPr>
      </w:pPr>
      <w:r>
        <w:rPr>
          <w:rFonts w:ascii="Times New Roman" w:hAnsi="Times New Roman" w:eastAsia="Times New Roman"/>
          <w:bCs/>
          <w:sz w:val="24"/>
          <w:szCs w:val="24"/>
          <w:lang w:eastAsia="hr-HR"/>
        </w:rPr>
        <w:t>izrada prijedloga korisnika za odobravanje bespovratnih novčanih potpora</w:t>
      </w:r>
    </w:p>
    <w:p w14:paraId="263EDB23">
      <w:pPr>
        <w:spacing w:after="0" w:line="240" w:lineRule="auto"/>
        <w:jc w:val="both"/>
        <w:rPr>
          <w:rFonts w:ascii="Times New Roman" w:hAnsi="Times New Roman" w:eastAsia="Times New Roman"/>
          <w:bCs/>
          <w:sz w:val="24"/>
          <w:szCs w:val="24"/>
          <w:lang w:eastAsia="hr-HR"/>
        </w:rPr>
      </w:pPr>
      <w:r>
        <w:rPr>
          <w:rFonts w:ascii="Times New Roman" w:hAnsi="Times New Roman" w:eastAsia="Times New Roman"/>
          <w:bCs/>
          <w:sz w:val="24"/>
          <w:szCs w:val="24"/>
          <w:vertAlign w:val="superscript"/>
          <w:lang w:eastAsia="hr-HR"/>
        </w:rPr>
        <w:t xml:space="preserve"> </w:t>
      </w:r>
    </w:p>
    <w:p w14:paraId="5469A59B">
      <w:pPr>
        <w:spacing w:after="0" w:line="240" w:lineRule="auto"/>
        <w:jc w:val="both"/>
        <w:rPr>
          <w:rFonts w:ascii="Times New Roman" w:hAnsi="Times New Roman" w:eastAsia="Times New Roman"/>
          <w:bCs/>
          <w:sz w:val="24"/>
          <w:szCs w:val="24"/>
          <w:lang w:eastAsia="hr-HR"/>
        </w:rPr>
      </w:pPr>
      <w:r>
        <w:rPr>
          <w:rFonts w:ascii="Times New Roman" w:hAnsi="Times New Roman" w:eastAsia="Times New Roman"/>
          <w:bCs/>
          <w:sz w:val="24"/>
          <w:szCs w:val="24"/>
          <w:lang w:eastAsia="hr-HR"/>
        </w:rPr>
        <w:t xml:space="preserve">Povjerenstvo za ocjenjivanje prijava na Javni poziv postupa u skladu sa Poslovnikom o radu Povjerenstva kojeg donosi Povjerenstvo na svojoj 1. sjednici. O svom radu Povjerenstvo vodi Zapisnik, a sastavni dio Zapisnika su: Tablica bodovanja po utvrđenim kriterijima i Tablica s popisom prijavitelja za koje se predlaže dodjela bespovratne novčane potpore s predloženim iznosom bespovratne novčane potpore.  </w:t>
      </w:r>
    </w:p>
    <w:p w14:paraId="7403079E">
      <w:pPr>
        <w:spacing w:after="0" w:line="240" w:lineRule="auto"/>
        <w:ind w:firstLine="708"/>
        <w:jc w:val="both"/>
        <w:rPr>
          <w:rFonts w:ascii="Times New Roman" w:hAnsi="Times New Roman"/>
          <w:sz w:val="24"/>
          <w:szCs w:val="24"/>
        </w:rPr>
      </w:pPr>
    </w:p>
    <w:p w14:paraId="33483036">
      <w:pPr>
        <w:spacing w:after="0" w:line="240" w:lineRule="auto"/>
        <w:jc w:val="both"/>
        <w:rPr>
          <w:rFonts w:ascii="Times New Roman" w:hAnsi="Times New Roman" w:eastAsia="Times New Roman"/>
          <w:bCs/>
          <w:sz w:val="24"/>
          <w:szCs w:val="24"/>
          <w:lang w:eastAsia="hr-HR"/>
        </w:rPr>
      </w:pPr>
      <w:r>
        <w:rPr>
          <w:rFonts w:ascii="Times New Roman" w:hAnsi="Times New Roman" w:eastAsia="Times New Roman"/>
          <w:bCs/>
          <w:sz w:val="24"/>
          <w:szCs w:val="24"/>
          <w:lang w:eastAsia="hr-HR"/>
        </w:rPr>
        <w:t xml:space="preserve">Administrativne i stručne poslove za potrebe oba Povjerenstva obavlja Upravni odjel za poljoprivredu, ruralni razvoj, zaštitu okoliša i prirode, Odsjek za ruralni razvoj i turizam. </w:t>
      </w:r>
    </w:p>
    <w:p w14:paraId="736E4C2C">
      <w:pPr>
        <w:spacing w:after="0" w:line="240" w:lineRule="auto"/>
        <w:ind w:firstLine="708"/>
        <w:jc w:val="both"/>
        <w:rPr>
          <w:rFonts w:ascii="Times New Roman" w:hAnsi="Times New Roman"/>
          <w:sz w:val="24"/>
          <w:szCs w:val="24"/>
        </w:rPr>
      </w:pPr>
    </w:p>
    <w:tbl>
      <w:tblPr>
        <w:tblStyle w:val="13"/>
        <w:tblW w:w="5000" w:type="pct"/>
        <w:tblInd w:w="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autofit"/>
        <w:tblCellMar>
          <w:top w:w="28" w:type="dxa"/>
          <w:left w:w="113" w:type="dxa"/>
          <w:bottom w:w="28" w:type="dxa"/>
          <w:right w:w="0" w:type="dxa"/>
        </w:tblCellMar>
      </w:tblPr>
      <w:tblGrid>
        <w:gridCol w:w="9899"/>
      </w:tblGrid>
      <w:tr w14:paraId="1E9FF9F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28" w:type="dxa"/>
            <w:left w:w="113" w:type="dxa"/>
            <w:bottom w:w="28" w:type="dxa"/>
            <w:right w:w="0" w:type="dxa"/>
          </w:tblCellMar>
        </w:tblPrEx>
        <w:trPr>
          <w:trHeight w:val="473" w:hRule="exact"/>
        </w:trPr>
        <w:tc>
          <w:tcPr>
            <w:tcW w:w="5000" w:type="pct"/>
            <w:tcBorders>
              <w:top w:val="single" w:color="auto" w:sz="4" w:space="0"/>
              <w:left w:val="single" w:color="auto" w:sz="4" w:space="0"/>
              <w:bottom w:val="single" w:color="auto" w:sz="4" w:space="0"/>
              <w:right w:val="single" w:color="auto" w:sz="4" w:space="0"/>
            </w:tcBorders>
            <w:shd w:val="clear" w:color="auto" w:fill="E7E6E6" w:themeFill="background2"/>
            <w:vAlign w:val="center"/>
          </w:tcPr>
          <w:p w14:paraId="696D3BE7">
            <w:pPr>
              <w:spacing w:after="0" w:line="240" w:lineRule="auto"/>
              <w:jc w:val="both"/>
              <w:rPr>
                <w:rFonts w:ascii="Times New Roman" w:hAnsi="Times New Roman"/>
                <w:b/>
                <w:bCs/>
                <w:sz w:val="24"/>
                <w:szCs w:val="24"/>
              </w:rPr>
            </w:pPr>
            <w:r>
              <w:rPr>
                <w:rFonts w:ascii="Times New Roman" w:hAnsi="Times New Roman"/>
                <w:b/>
                <w:bCs/>
                <w:sz w:val="24"/>
                <w:szCs w:val="24"/>
              </w:rPr>
              <w:t>Pravo prigovora</w:t>
            </w:r>
          </w:p>
        </w:tc>
      </w:tr>
    </w:tbl>
    <w:p w14:paraId="7A44510A">
      <w:pPr>
        <w:spacing w:after="0" w:line="240" w:lineRule="auto"/>
        <w:jc w:val="both"/>
        <w:rPr>
          <w:rFonts w:ascii="Times New Roman" w:hAnsi="Times New Roman"/>
          <w:sz w:val="24"/>
          <w:szCs w:val="24"/>
        </w:rPr>
      </w:pPr>
    </w:p>
    <w:p w14:paraId="29E5D935">
      <w:pPr>
        <w:spacing w:after="0" w:line="240" w:lineRule="auto"/>
        <w:jc w:val="both"/>
        <w:rPr>
          <w:rFonts w:ascii="Times New Roman" w:hAnsi="Times New Roman" w:eastAsia="Times New Roman"/>
          <w:sz w:val="24"/>
          <w:szCs w:val="24"/>
          <w:lang w:eastAsia="hr-HR"/>
        </w:rPr>
      </w:pPr>
      <w:r>
        <w:rPr>
          <w:rFonts w:ascii="Times New Roman" w:hAnsi="Times New Roman" w:eastAsia="Times New Roman"/>
          <w:sz w:val="24"/>
          <w:szCs w:val="24"/>
          <w:lang w:eastAsia="hr-HR"/>
        </w:rPr>
        <w:t>Nakon što Povjerenstva utvrde ispunjavanje formalnih uvjeta te utvrde bodovnu listu i prijedlog iznosa bespovratnih novčanih potpora, o tome se obavještava sve prijavitelje putem elektronske pošte, nakon čega prijavitelj ima mogućnost u roku od osam (8) dana od dana primitka obavijesti za naknadni uvid u ocjenu prijave te podnošenje prigovora pisanim putem županu koji će potom u roku od osam (8) dana od primitka prigovora donijeti Zaključak o prigovoru.</w:t>
      </w:r>
    </w:p>
    <w:p w14:paraId="5DC3F210">
      <w:pPr>
        <w:spacing w:after="0" w:line="240" w:lineRule="auto"/>
        <w:jc w:val="both"/>
        <w:rPr>
          <w:rFonts w:ascii="Times New Roman" w:hAnsi="Times New Roman" w:eastAsia="Times New Roman"/>
          <w:b/>
          <w:bCs/>
          <w:sz w:val="24"/>
          <w:szCs w:val="24"/>
          <w:lang w:eastAsia="hr-HR"/>
        </w:rPr>
      </w:pPr>
    </w:p>
    <w:p w14:paraId="71CA815F">
      <w:pPr>
        <w:spacing w:after="0" w:line="240" w:lineRule="auto"/>
        <w:ind w:firstLine="708"/>
        <w:jc w:val="both"/>
        <w:rPr>
          <w:rFonts w:ascii="Times New Roman" w:hAnsi="Times New Roman"/>
          <w:sz w:val="24"/>
          <w:szCs w:val="24"/>
        </w:rPr>
      </w:pPr>
    </w:p>
    <w:tbl>
      <w:tblPr>
        <w:tblStyle w:val="13"/>
        <w:tblW w:w="5000" w:type="pct"/>
        <w:tblInd w:w="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autofit"/>
        <w:tblCellMar>
          <w:top w:w="28" w:type="dxa"/>
          <w:left w:w="113" w:type="dxa"/>
          <w:bottom w:w="28" w:type="dxa"/>
          <w:right w:w="0" w:type="dxa"/>
        </w:tblCellMar>
      </w:tblPr>
      <w:tblGrid>
        <w:gridCol w:w="9899"/>
      </w:tblGrid>
      <w:tr w14:paraId="27C4A8F0">
        <w:tblPrEx>
          <w:tblCellMar>
            <w:top w:w="28" w:type="dxa"/>
            <w:left w:w="113" w:type="dxa"/>
            <w:bottom w:w="28" w:type="dxa"/>
            <w:right w:w="0" w:type="dxa"/>
          </w:tblCellMar>
        </w:tblPrEx>
        <w:trPr>
          <w:trHeight w:val="413" w:hRule="exact"/>
        </w:trPr>
        <w:tc>
          <w:tcPr>
            <w:tcW w:w="5000" w:type="pct"/>
            <w:tcBorders>
              <w:top w:val="single" w:color="auto" w:sz="4" w:space="0"/>
              <w:left w:val="single" w:color="auto" w:sz="4" w:space="0"/>
              <w:bottom w:val="single" w:color="auto" w:sz="4" w:space="0"/>
              <w:right w:val="single" w:color="auto" w:sz="4" w:space="0"/>
            </w:tcBorders>
            <w:shd w:val="clear" w:color="auto" w:fill="E7E6E6" w:themeFill="background2"/>
            <w:vAlign w:val="center"/>
          </w:tcPr>
          <w:p w14:paraId="00D1FF6B">
            <w:pPr>
              <w:widowControl w:val="0"/>
              <w:suppressLineNumbers/>
              <w:snapToGrid w:val="0"/>
              <w:rPr>
                <w:rFonts w:ascii="Times New Roman" w:hAnsi="Times New Roman"/>
                <w:b/>
                <w:bCs/>
                <w:sz w:val="24"/>
                <w:szCs w:val="24"/>
              </w:rPr>
            </w:pPr>
            <w:r>
              <w:rPr>
                <w:rFonts w:ascii="Times New Roman" w:hAnsi="Times New Roman"/>
                <w:b/>
                <w:bCs/>
                <w:sz w:val="24"/>
                <w:szCs w:val="24"/>
              </w:rPr>
              <w:t>Donošenje Odluke</w:t>
            </w:r>
          </w:p>
          <w:p w14:paraId="1340608C">
            <w:pPr>
              <w:widowControl w:val="0"/>
              <w:suppressLineNumbers/>
              <w:snapToGrid w:val="0"/>
              <w:rPr>
                <w:rFonts w:ascii="Times New Roman" w:hAnsi="Times New Roman"/>
                <w:b/>
                <w:bCs/>
                <w:sz w:val="24"/>
                <w:szCs w:val="24"/>
              </w:rPr>
            </w:pPr>
            <w:r>
              <w:rPr>
                <w:rFonts w:ascii="Times New Roman" w:hAnsi="Times New Roman"/>
                <w:b/>
                <w:bCs/>
                <w:sz w:val="24"/>
                <w:szCs w:val="24"/>
              </w:rPr>
              <w:t>I. OSNOVNI PODACI O PODNOSITELJU PRIJAVE PROGRAMA</w:t>
            </w:r>
          </w:p>
        </w:tc>
      </w:tr>
    </w:tbl>
    <w:p w14:paraId="3E91C881">
      <w:pPr>
        <w:spacing w:after="0" w:line="240" w:lineRule="auto"/>
        <w:jc w:val="both"/>
        <w:rPr>
          <w:rFonts w:ascii="Times New Roman" w:hAnsi="Times New Roman"/>
          <w:sz w:val="24"/>
          <w:szCs w:val="24"/>
        </w:rPr>
      </w:pPr>
    </w:p>
    <w:p w14:paraId="79C5DFBA">
      <w:pPr>
        <w:spacing w:after="0" w:line="240" w:lineRule="auto"/>
        <w:jc w:val="both"/>
        <w:rPr>
          <w:rFonts w:ascii="Times New Roman" w:hAnsi="Times New Roman" w:eastAsia="Times New Roman"/>
          <w:bCs/>
          <w:sz w:val="24"/>
          <w:szCs w:val="24"/>
          <w:lang w:eastAsia="hr-HR"/>
        </w:rPr>
      </w:pPr>
      <w:r>
        <w:rPr>
          <w:rFonts w:ascii="Times New Roman" w:hAnsi="Times New Roman"/>
          <w:bCs/>
          <w:sz w:val="24"/>
          <w:szCs w:val="24"/>
        </w:rPr>
        <w:t>Odluku o dodjeli bespovratnih novčanih potpora</w:t>
      </w:r>
      <w:r>
        <w:rPr>
          <w:rFonts w:ascii="Times New Roman" w:hAnsi="Times New Roman" w:eastAsia="Times New Roman"/>
          <w:bCs/>
          <w:sz w:val="24"/>
          <w:szCs w:val="24"/>
          <w:lang w:eastAsia="hr-HR"/>
        </w:rPr>
        <w:t xml:space="preserve"> za sufinanciranje razvoja lovstva na području Sisačko-moslavačke županije za 2026. godinu donosi župan.</w:t>
      </w:r>
    </w:p>
    <w:p w14:paraId="3724E971">
      <w:pPr>
        <w:spacing w:after="0" w:line="240" w:lineRule="auto"/>
        <w:jc w:val="both"/>
        <w:rPr>
          <w:rFonts w:ascii="Times New Roman" w:hAnsi="Times New Roman" w:eastAsia="Times New Roman"/>
          <w:bCs/>
          <w:sz w:val="24"/>
          <w:szCs w:val="24"/>
          <w:lang w:eastAsia="hr-HR"/>
        </w:rPr>
      </w:pPr>
    </w:p>
    <w:p w14:paraId="436B989B">
      <w:pPr>
        <w:spacing w:after="0" w:line="240" w:lineRule="auto"/>
        <w:jc w:val="both"/>
        <w:rPr>
          <w:rFonts w:ascii="Times New Roman" w:hAnsi="Times New Roman" w:eastAsia="Times New Roman"/>
          <w:bCs/>
          <w:sz w:val="24"/>
          <w:szCs w:val="24"/>
          <w:lang w:eastAsia="hr-HR"/>
        </w:rPr>
      </w:pPr>
      <w:r>
        <w:rPr>
          <w:rFonts w:ascii="Times New Roman" w:hAnsi="Times New Roman" w:eastAsia="Times New Roman"/>
          <w:bCs/>
          <w:sz w:val="24"/>
          <w:szCs w:val="24"/>
          <w:lang w:eastAsia="hr-HR"/>
        </w:rPr>
        <w:t xml:space="preserve">Rezultati Javnog poziva objavljuju se na mrežnoj stranici Sisačko-moslavačke županije </w:t>
      </w:r>
      <w:r>
        <w:fldChar w:fldCharType="begin"/>
      </w:r>
      <w:r>
        <w:instrText xml:space="preserve"> HYPERLINK "http://www.smz.hr" </w:instrText>
      </w:r>
      <w:r>
        <w:fldChar w:fldCharType="separate"/>
      </w:r>
      <w:r>
        <w:rPr>
          <w:rStyle w:val="19"/>
          <w:rFonts w:ascii="Times New Roman" w:hAnsi="Times New Roman"/>
          <w:sz w:val="24"/>
          <w:szCs w:val="24"/>
        </w:rPr>
        <w:t>www.smz.hr</w:t>
      </w:r>
      <w:r>
        <w:rPr>
          <w:rStyle w:val="19"/>
          <w:rFonts w:ascii="Times New Roman" w:hAnsi="Times New Roman"/>
          <w:sz w:val="24"/>
          <w:szCs w:val="24"/>
        </w:rPr>
        <w:fldChar w:fldCharType="end"/>
      </w:r>
      <w:r>
        <w:t xml:space="preserve">, </w:t>
      </w:r>
      <w:r>
        <w:rPr>
          <w:rFonts w:ascii="Times New Roman" w:hAnsi="Times New Roman"/>
          <w:sz w:val="24"/>
          <w:szCs w:val="24"/>
        </w:rPr>
        <w:t>a</w:t>
      </w:r>
      <w:r>
        <w:t xml:space="preserve"> </w:t>
      </w:r>
      <w:r>
        <w:rPr>
          <w:rFonts w:ascii="Times New Roman" w:hAnsi="Times New Roman" w:eastAsia="Times New Roman"/>
          <w:bCs/>
          <w:sz w:val="24"/>
          <w:szCs w:val="24"/>
          <w:lang w:eastAsia="hr-HR"/>
        </w:rPr>
        <w:t>prijaviteljima koji ne ostvaruju pravo na bespovratnu novčanu potporu dostaviti će se pisana obavijest.</w:t>
      </w:r>
    </w:p>
    <w:p w14:paraId="11CA3B84">
      <w:pPr>
        <w:spacing w:after="0" w:line="240" w:lineRule="auto"/>
        <w:jc w:val="both"/>
        <w:rPr>
          <w:rFonts w:ascii="Times New Roman" w:hAnsi="Times New Roman"/>
          <w:sz w:val="24"/>
          <w:szCs w:val="24"/>
        </w:rPr>
      </w:pPr>
    </w:p>
    <w:tbl>
      <w:tblPr>
        <w:tblStyle w:val="13"/>
        <w:tblW w:w="5000" w:type="pct"/>
        <w:tblInd w:w="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autofit"/>
        <w:tblCellMar>
          <w:top w:w="28" w:type="dxa"/>
          <w:left w:w="113" w:type="dxa"/>
          <w:bottom w:w="28" w:type="dxa"/>
          <w:right w:w="0" w:type="dxa"/>
        </w:tblCellMar>
      </w:tblPr>
      <w:tblGrid>
        <w:gridCol w:w="9899"/>
      </w:tblGrid>
      <w:tr w14:paraId="69C2DB5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28" w:type="dxa"/>
            <w:left w:w="113" w:type="dxa"/>
            <w:bottom w:w="28" w:type="dxa"/>
            <w:right w:w="0" w:type="dxa"/>
          </w:tblCellMar>
        </w:tblPrEx>
        <w:trPr>
          <w:trHeight w:val="413" w:hRule="exact"/>
        </w:trPr>
        <w:tc>
          <w:tcPr>
            <w:tcW w:w="5000" w:type="pct"/>
            <w:tcBorders>
              <w:top w:val="single" w:color="auto" w:sz="4" w:space="0"/>
              <w:left w:val="single" w:color="auto" w:sz="4" w:space="0"/>
              <w:bottom w:val="single" w:color="auto" w:sz="4" w:space="0"/>
              <w:right w:val="single" w:color="auto" w:sz="4" w:space="0"/>
            </w:tcBorders>
            <w:shd w:val="clear" w:color="auto" w:fill="E7E6E6" w:themeFill="background2"/>
            <w:vAlign w:val="center"/>
          </w:tcPr>
          <w:p w14:paraId="1659FC31">
            <w:pPr>
              <w:widowControl w:val="0"/>
              <w:suppressLineNumbers/>
              <w:snapToGrid w:val="0"/>
              <w:rPr>
                <w:rFonts w:ascii="Times New Roman" w:hAnsi="Times New Roman"/>
                <w:b/>
                <w:bCs/>
                <w:sz w:val="24"/>
                <w:szCs w:val="24"/>
              </w:rPr>
            </w:pPr>
            <w:r>
              <w:rPr>
                <w:rFonts w:ascii="Times New Roman" w:hAnsi="Times New Roman" w:eastAsia="Times New Roman"/>
                <w:b/>
                <w:bCs/>
                <w:sz w:val="24"/>
                <w:szCs w:val="24"/>
                <w:lang w:eastAsia="hr-HR"/>
              </w:rPr>
              <w:t>Obveza osiguranja javnosti i vidljivosti trošenja javnih sredstava</w:t>
            </w:r>
          </w:p>
          <w:p w14:paraId="152C90FC">
            <w:pPr>
              <w:widowControl w:val="0"/>
              <w:suppressLineNumbers/>
              <w:snapToGrid w:val="0"/>
              <w:rPr>
                <w:rFonts w:ascii="Times New Roman" w:hAnsi="Times New Roman"/>
                <w:b/>
                <w:bCs/>
                <w:sz w:val="24"/>
                <w:szCs w:val="24"/>
              </w:rPr>
            </w:pPr>
            <w:r>
              <w:rPr>
                <w:rFonts w:ascii="Times New Roman" w:hAnsi="Times New Roman"/>
                <w:b/>
                <w:bCs/>
                <w:sz w:val="24"/>
                <w:szCs w:val="24"/>
              </w:rPr>
              <w:t>I. OSNOVNI PODACI O PODNOSITELJU PRIJAVE PROGRAMA</w:t>
            </w:r>
          </w:p>
        </w:tc>
      </w:tr>
    </w:tbl>
    <w:p w14:paraId="7364FFCD">
      <w:pPr>
        <w:spacing w:after="0" w:line="240" w:lineRule="auto"/>
        <w:jc w:val="both"/>
        <w:rPr>
          <w:rFonts w:ascii="Times New Roman" w:hAnsi="Times New Roman" w:eastAsia="Times New Roman"/>
          <w:bCs/>
          <w:sz w:val="24"/>
          <w:szCs w:val="24"/>
          <w:lang w:eastAsia="hr-HR"/>
        </w:rPr>
      </w:pPr>
    </w:p>
    <w:p w14:paraId="04B656F5">
      <w:pPr>
        <w:spacing w:after="0" w:line="240" w:lineRule="auto"/>
        <w:jc w:val="both"/>
        <w:rPr>
          <w:rFonts w:ascii="Times New Roman" w:hAnsi="Times New Roman" w:eastAsia="Times New Roman"/>
          <w:sz w:val="24"/>
          <w:szCs w:val="24"/>
          <w:lang w:eastAsia="hr-HR"/>
        </w:rPr>
      </w:pPr>
      <w:bookmarkStart w:id="21" w:name="_Hlk171342341"/>
      <w:r>
        <w:rPr>
          <w:rFonts w:ascii="Times New Roman" w:hAnsi="Times New Roman" w:eastAsia="Times New Roman"/>
          <w:sz w:val="24"/>
          <w:szCs w:val="24"/>
          <w:lang w:eastAsia="hr-HR"/>
        </w:rPr>
        <w:t xml:space="preserve">Korisnik bespovratne novčane potpore dužan je poduzeti potrebne mjere kako bi javnosti učinio dostupnom činjenicu da je Županija davatelj bespovratne novčane potpore za provedbu Mjere 1. (samo za Aktivnosti 1.1., 1.2. i 1.3.), a radi osiguranja javnosti i vidljivosti trošenja javnih sredstava, postavljanjem oznake vidljivosti prema predlošku koji je sastavni dio ovih Uputa za prijavitelje. </w:t>
      </w:r>
    </w:p>
    <w:bookmarkEnd w:id="21"/>
    <w:p w14:paraId="6232B5AA">
      <w:pPr>
        <w:spacing w:after="0" w:line="240" w:lineRule="auto"/>
        <w:jc w:val="both"/>
        <w:rPr>
          <w:rFonts w:ascii="Times New Roman" w:hAnsi="Times New Roman" w:eastAsia="Times New Roman"/>
          <w:bCs/>
          <w:sz w:val="24"/>
          <w:szCs w:val="24"/>
          <w:lang w:eastAsia="hr-HR"/>
        </w:rPr>
      </w:pPr>
    </w:p>
    <w:tbl>
      <w:tblPr>
        <w:tblStyle w:val="13"/>
        <w:tblW w:w="5000" w:type="pct"/>
        <w:tblInd w:w="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autofit"/>
        <w:tblCellMar>
          <w:top w:w="28" w:type="dxa"/>
          <w:left w:w="113" w:type="dxa"/>
          <w:bottom w:w="28" w:type="dxa"/>
          <w:right w:w="0" w:type="dxa"/>
        </w:tblCellMar>
      </w:tblPr>
      <w:tblGrid>
        <w:gridCol w:w="9899"/>
      </w:tblGrid>
      <w:tr w14:paraId="3AA2C1B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28" w:type="dxa"/>
            <w:left w:w="113" w:type="dxa"/>
            <w:bottom w:w="28" w:type="dxa"/>
            <w:right w:w="0" w:type="dxa"/>
          </w:tblCellMar>
        </w:tblPrEx>
        <w:trPr>
          <w:trHeight w:val="454" w:hRule="exact"/>
        </w:trPr>
        <w:tc>
          <w:tcPr>
            <w:tcW w:w="5000" w:type="pct"/>
            <w:tcBorders>
              <w:top w:val="single" w:color="auto" w:sz="4" w:space="0"/>
              <w:left w:val="single" w:color="auto" w:sz="4" w:space="0"/>
              <w:bottom w:val="single" w:color="auto" w:sz="4" w:space="0"/>
              <w:right w:val="single" w:color="auto" w:sz="4" w:space="0"/>
            </w:tcBorders>
            <w:shd w:val="clear" w:color="auto" w:fill="E7E6E6" w:themeFill="background2"/>
            <w:vAlign w:val="center"/>
          </w:tcPr>
          <w:p w14:paraId="4E703198">
            <w:pPr>
              <w:widowControl w:val="0"/>
              <w:suppressLineNumbers/>
              <w:snapToGrid w:val="0"/>
              <w:rPr>
                <w:rFonts w:ascii="Times New Roman" w:hAnsi="Times New Roman"/>
                <w:b/>
                <w:bCs/>
                <w:sz w:val="24"/>
                <w:szCs w:val="24"/>
              </w:rPr>
            </w:pPr>
            <w:r>
              <w:rPr>
                <w:rFonts w:ascii="Times New Roman" w:hAnsi="Times New Roman"/>
                <w:b/>
                <w:bCs/>
                <w:sz w:val="24"/>
                <w:szCs w:val="24"/>
              </w:rPr>
              <w:t>Ugovaranje, izvješćivanje i nadzor</w:t>
            </w:r>
          </w:p>
          <w:p w14:paraId="412B7134">
            <w:pPr>
              <w:widowControl w:val="0"/>
              <w:suppressLineNumbers/>
              <w:snapToGrid w:val="0"/>
              <w:rPr>
                <w:rFonts w:ascii="Times New Roman" w:hAnsi="Times New Roman"/>
                <w:b/>
                <w:bCs/>
                <w:sz w:val="24"/>
                <w:szCs w:val="24"/>
              </w:rPr>
            </w:pPr>
            <w:r>
              <w:rPr>
                <w:rFonts w:ascii="Times New Roman" w:hAnsi="Times New Roman"/>
                <w:b/>
                <w:bCs/>
                <w:sz w:val="24"/>
                <w:szCs w:val="24"/>
              </w:rPr>
              <w:t>I. OSNOVNI PODACI O PODNOSITELJU PRIJAVE PROGRAMA</w:t>
            </w:r>
          </w:p>
        </w:tc>
      </w:tr>
    </w:tbl>
    <w:p w14:paraId="10ED6910">
      <w:pPr>
        <w:spacing w:after="0" w:line="240" w:lineRule="auto"/>
        <w:jc w:val="both"/>
        <w:rPr>
          <w:rFonts w:ascii="Times New Roman" w:hAnsi="Times New Roman" w:eastAsia="Times New Roman"/>
          <w:bCs/>
          <w:sz w:val="24"/>
          <w:szCs w:val="24"/>
        </w:rPr>
      </w:pPr>
    </w:p>
    <w:p w14:paraId="25B25E12">
      <w:pPr>
        <w:spacing w:after="0" w:line="240" w:lineRule="auto"/>
        <w:jc w:val="both"/>
        <w:rPr>
          <w:rFonts w:ascii="Times New Roman" w:hAnsi="Times New Roman" w:eastAsia="Times New Roman"/>
          <w:bCs/>
          <w:sz w:val="24"/>
          <w:szCs w:val="24"/>
          <w:lang w:eastAsia="hr-HR"/>
        </w:rPr>
      </w:pPr>
      <w:r>
        <w:rPr>
          <w:rFonts w:ascii="Times New Roman" w:hAnsi="Times New Roman" w:eastAsia="Times New Roman"/>
          <w:bCs/>
          <w:sz w:val="24"/>
          <w:szCs w:val="24"/>
          <w:lang w:eastAsia="hr-HR"/>
        </w:rPr>
        <w:t xml:space="preserve">Sa svim korisnicima kojima su odobrene bespovratne novčane potpore Sisačko-moslavačka županija zaključit će Ugovor o dodjeli bespovratnih novčanih potpora za sufinanciranje razvoja lovstva na području Sisačko-moslavačke županije za 2026. godinu (u daljnjem tekstu: Ugovor) najkasnije u roku od trideset (30) dana od dana donošenja </w:t>
      </w:r>
      <w:r>
        <w:rPr>
          <w:rFonts w:ascii="Times New Roman" w:hAnsi="Times New Roman"/>
          <w:bCs/>
          <w:sz w:val="24"/>
          <w:szCs w:val="24"/>
        </w:rPr>
        <w:t xml:space="preserve">Odluke o dodjeli bespovratne novčane potpore </w:t>
      </w:r>
      <w:r>
        <w:rPr>
          <w:rFonts w:ascii="Times New Roman" w:hAnsi="Times New Roman" w:eastAsia="Times New Roman"/>
          <w:bCs/>
          <w:sz w:val="24"/>
          <w:szCs w:val="24"/>
          <w:lang w:eastAsia="hr-HR"/>
        </w:rPr>
        <w:t>za sufinanciranje razvoja lovstva na području Sisačko-moslavačke županije za 2026. godinu.</w:t>
      </w:r>
    </w:p>
    <w:p w14:paraId="46CF9E4C">
      <w:pPr>
        <w:spacing w:after="0" w:line="240" w:lineRule="auto"/>
        <w:jc w:val="both"/>
        <w:rPr>
          <w:rFonts w:ascii="Times New Roman" w:hAnsi="Times New Roman"/>
          <w:sz w:val="24"/>
          <w:szCs w:val="24"/>
        </w:rPr>
      </w:pPr>
    </w:p>
    <w:p w14:paraId="25F8A792">
      <w:pPr>
        <w:spacing w:after="0" w:line="240" w:lineRule="auto"/>
        <w:jc w:val="both"/>
        <w:rPr>
          <w:rFonts w:ascii="Times New Roman" w:hAnsi="Times New Roman"/>
          <w:sz w:val="24"/>
          <w:szCs w:val="24"/>
        </w:rPr>
      </w:pPr>
      <w:r>
        <w:rPr>
          <w:rFonts w:ascii="Times New Roman" w:hAnsi="Times New Roman"/>
          <w:sz w:val="24"/>
          <w:szCs w:val="24"/>
        </w:rPr>
        <w:t>Odobrenu bespovratnu novčanu potporu Korisnik je dužan koristiti namjenski, u skladu s važećim zakonskim propisima, Odlukom i Ugovorom.</w:t>
      </w:r>
    </w:p>
    <w:p w14:paraId="4F415D56">
      <w:pPr>
        <w:spacing w:after="0" w:line="240" w:lineRule="auto"/>
        <w:jc w:val="both"/>
        <w:rPr>
          <w:rFonts w:ascii="Times New Roman" w:hAnsi="Times New Roman" w:eastAsia="Times New Roman"/>
          <w:sz w:val="24"/>
          <w:szCs w:val="24"/>
          <w:lang w:eastAsia="hr-HR"/>
        </w:rPr>
      </w:pPr>
    </w:p>
    <w:p w14:paraId="19A68928">
      <w:pPr>
        <w:spacing w:after="0" w:line="240" w:lineRule="auto"/>
        <w:jc w:val="both"/>
        <w:rPr>
          <w:rFonts w:ascii="Times New Roman" w:hAnsi="Times New Roman" w:eastAsia="Times New Roman"/>
          <w:sz w:val="24"/>
          <w:szCs w:val="24"/>
          <w:lang w:eastAsia="hr-HR"/>
        </w:rPr>
      </w:pPr>
      <w:r>
        <w:rPr>
          <w:rFonts w:ascii="Times New Roman" w:hAnsi="Times New Roman" w:eastAsia="Times New Roman"/>
          <w:sz w:val="24"/>
          <w:szCs w:val="24"/>
          <w:lang w:eastAsia="hr-HR"/>
        </w:rPr>
        <w:t xml:space="preserve">Korisnik bespovratne novčane potpore dužan je u roku od trideset (30) dana od utroška dobivenih bespovratnih novčanih potpora, a najkasnije do 31. siječnja 2027. godine podnijeti Izvještaj o namjenskom korištenju bespovratne novčane potpore za sufinanciranje razvoja lovstva na području Sisačko-moslavačke županije za 2026. godinu putem propisanog obrasca (Obrazac 5) uz koji prilaže dokaze o utrošku sredstava (račune, </w:t>
      </w:r>
      <w:r>
        <w:rPr>
          <w:rFonts w:ascii="Times New Roman" w:hAnsi="Times New Roman"/>
          <w:sz w:val="24"/>
          <w:szCs w:val="24"/>
        </w:rPr>
        <w:t xml:space="preserve">potvrde banke o izvršenom plaćanju ili bankovne izvode o izvršenom plaćanju, </w:t>
      </w:r>
      <w:r>
        <w:rPr>
          <w:rFonts w:ascii="Times New Roman" w:hAnsi="Times New Roman" w:eastAsia="Times New Roman"/>
          <w:sz w:val="24"/>
          <w:szCs w:val="24"/>
          <w:lang w:eastAsia="hr-HR"/>
        </w:rPr>
        <w:t xml:space="preserve">fotodokumentaciju i dr.) kojim izvješćuje o ostvarenim učincima utrošenih sredstava bespovratne novčane potpore. </w:t>
      </w:r>
    </w:p>
    <w:p w14:paraId="24E88000">
      <w:pPr>
        <w:spacing w:after="0" w:line="240" w:lineRule="auto"/>
        <w:jc w:val="both"/>
        <w:rPr>
          <w:rFonts w:ascii="Times New Roman" w:hAnsi="Times New Roman" w:eastAsia="Times New Roman"/>
          <w:sz w:val="24"/>
          <w:szCs w:val="24"/>
          <w:lang w:eastAsia="hr-HR"/>
        </w:rPr>
      </w:pPr>
    </w:p>
    <w:p w14:paraId="068349E2">
      <w:pPr>
        <w:spacing w:after="0" w:line="240" w:lineRule="auto"/>
        <w:jc w:val="both"/>
        <w:rPr>
          <w:rFonts w:ascii="Times New Roman" w:hAnsi="Times New Roman" w:eastAsia="Times New Roman"/>
          <w:bCs/>
          <w:sz w:val="24"/>
          <w:szCs w:val="24"/>
          <w:lang w:eastAsia="hr-HR"/>
        </w:rPr>
      </w:pPr>
      <w:r>
        <w:rPr>
          <w:rFonts w:ascii="Times New Roman" w:hAnsi="Times New Roman" w:eastAsia="Times New Roman"/>
          <w:bCs/>
          <w:sz w:val="24"/>
          <w:szCs w:val="24"/>
          <w:lang w:eastAsia="hr-HR"/>
        </w:rPr>
        <w:t>Sisačko-moslavačka županija kao davatelj bespovratne novčane potpore nakon dobivanja izvještaja o namjenskom korištenju bespovratne novčane potpore provest će kontrolu utroška namjenski iskorištenih bespovratnih novčanih potpora te po potrebi obaviti kontrolu na terenu, a korisnik bespovratnih novčanih potpora dužan je isto omogućiti.</w:t>
      </w:r>
    </w:p>
    <w:p w14:paraId="661CB6F8">
      <w:pPr>
        <w:spacing w:after="0" w:line="240" w:lineRule="auto"/>
        <w:jc w:val="both"/>
        <w:rPr>
          <w:rFonts w:ascii="Times New Roman" w:hAnsi="Times New Roman" w:eastAsia="Times New Roman"/>
          <w:bCs/>
          <w:sz w:val="24"/>
          <w:szCs w:val="24"/>
          <w:lang w:eastAsia="hr-HR"/>
        </w:rPr>
      </w:pPr>
      <w:r>
        <w:rPr>
          <w:rFonts w:ascii="Times New Roman" w:hAnsi="Times New Roman" w:eastAsia="Times New Roman"/>
          <w:bCs/>
          <w:sz w:val="24"/>
          <w:szCs w:val="24"/>
          <w:lang w:eastAsia="hr-HR"/>
        </w:rPr>
        <w:t>Nadzor provodi Upravni odjel za poljoprivredu, ruralni razvoj, zaštitu okoliša i prirode, o čemu sastavlja Zapisnik o kontroli na licu mjesta te o provedenim kontrolama dostavlja objedinjeno pisano Izvješće županu.</w:t>
      </w:r>
    </w:p>
    <w:p w14:paraId="76A4399B">
      <w:pPr>
        <w:spacing w:after="0" w:line="240" w:lineRule="auto"/>
        <w:jc w:val="both"/>
        <w:rPr>
          <w:rFonts w:ascii="Times New Roman" w:hAnsi="Times New Roman" w:eastAsia="Times New Roman"/>
          <w:bCs/>
          <w:sz w:val="24"/>
          <w:szCs w:val="24"/>
          <w:lang w:eastAsia="hr-HR"/>
        </w:rPr>
      </w:pPr>
    </w:p>
    <w:p w14:paraId="1D9AC799">
      <w:pPr>
        <w:spacing w:after="0" w:line="240" w:lineRule="auto"/>
        <w:jc w:val="both"/>
        <w:rPr>
          <w:rFonts w:ascii="Times New Roman" w:hAnsi="Times New Roman" w:eastAsia="Times New Roman"/>
          <w:bCs/>
          <w:sz w:val="24"/>
          <w:szCs w:val="24"/>
          <w:lang w:eastAsia="hr-HR"/>
        </w:rPr>
      </w:pPr>
      <w:r>
        <w:rPr>
          <w:rFonts w:ascii="Times New Roman" w:hAnsi="Times New Roman" w:eastAsia="Times New Roman"/>
          <w:bCs/>
          <w:sz w:val="24"/>
          <w:szCs w:val="24"/>
          <w:lang w:eastAsia="hr-HR"/>
        </w:rPr>
        <w:t xml:space="preserve">Ukoliko je korisnik priložio neistinitu dokumentaciju ili se utvrdi da je nenamjenski utrošio bespovratnu novčanu potporu ili nije utrošio dobivenu bespovratnu novčanu potporu ili nije podnio Izvještaj o namjenskom korištenju bespovratne novčane potpore za sufinanciranje razvoja lovstva na području Sisačko-moslavačke županije za 2026. godinu (Obrazac 5) ili nije pravdao dobivenu bespovratnu novčanu potporu u potpunosti ili nije stavio oznaku vidljivosti </w:t>
      </w:r>
      <w:r>
        <w:rPr>
          <w:rFonts w:ascii="Times New Roman" w:hAnsi="Times New Roman"/>
          <w:bCs/>
          <w:sz w:val="24"/>
          <w:szCs w:val="24"/>
        </w:rPr>
        <w:t xml:space="preserve">ili nije omogućio terensku kontrolu utroška dodijeljenih bespovratnih novčanih potpora - </w:t>
      </w:r>
      <w:r>
        <w:rPr>
          <w:rFonts w:ascii="Times New Roman" w:hAnsi="Times New Roman" w:eastAsia="Times New Roman"/>
          <w:bCs/>
          <w:sz w:val="24"/>
          <w:szCs w:val="24"/>
          <w:lang w:eastAsia="hr-HR"/>
        </w:rPr>
        <w:t xml:space="preserve">istu mora vratiti u županijski proračun u roku od petnaest (15) dana od dostave pisane obavijesti uvećanu za zakonom propisane zatezne kamate. </w:t>
      </w:r>
    </w:p>
    <w:p w14:paraId="3F96B342">
      <w:pPr>
        <w:spacing w:after="0" w:line="240" w:lineRule="auto"/>
        <w:jc w:val="both"/>
        <w:rPr>
          <w:rFonts w:ascii="Times New Roman" w:hAnsi="Times New Roman" w:eastAsia="Times New Roman"/>
          <w:bCs/>
          <w:sz w:val="24"/>
          <w:szCs w:val="24"/>
          <w:lang w:eastAsia="hr-HR"/>
        </w:rPr>
      </w:pPr>
    </w:p>
    <w:p w14:paraId="6D7A2F66">
      <w:pPr>
        <w:spacing w:after="0" w:line="240" w:lineRule="auto"/>
        <w:jc w:val="both"/>
        <w:rPr>
          <w:rFonts w:ascii="Times New Roman" w:hAnsi="Times New Roman" w:eastAsia="Times New Roman"/>
          <w:bCs/>
          <w:sz w:val="24"/>
          <w:szCs w:val="24"/>
          <w:lang w:eastAsia="hr-HR"/>
        </w:rPr>
      </w:pPr>
      <w:r>
        <w:rPr>
          <w:rFonts w:ascii="Times New Roman" w:hAnsi="Times New Roman"/>
          <w:bCs/>
          <w:sz w:val="24"/>
          <w:szCs w:val="24"/>
        </w:rPr>
        <w:t>U slučaju da je korisnik priložio neistinitu dokumentaciju ili je bespovratnu novčanu potporu utrošio nenamjenski ili nije utrošio bespovratnu novčanu potporu u potpunosti u rokovima utvrđenim ovom Odlukom ili nije podnio Izvještaj o namjenskom korištenju bespovratne novčane potpore za sufinanciranje razvoja lovstva na području Sisačko-moslavačke županije za 2026. godinu u utvrđenom roku - biti će isključen iz svih županijskih potpora u naredne tri (3) godine.</w:t>
      </w:r>
    </w:p>
    <w:p w14:paraId="3BBA2A3A">
      <w:pPr>
        <w:jc w:val="both"/>
        <w:rPr>
          <w:rFonts w:ascii="Times New Roman" w:hAnsi="Times New Roman"/>
          <w:bCs/>
          <w:sz w:val="24"/>
          <w:szCs w:val="24"/>
        </w:rPr>
      </w:pPr>
    </w:p>
    <w:p w14:paraId="03795BF6">
      <w:pPr>
        <w:jc w:val="both"/>
        <w:rPr>
          <w:rFonts w:ascii="Times New Roman" w:hAnsi="Times New Roman"/>
          <w:bCs/>
          <w:sz w:val="24"/>
          <w:szCs w:val="24"/>
        </w:rPr>
      </w:pPr>
      <w:r>
        <w:rPr>
          <w:rFonts w:ascii="Times New Roman" w:hAnsi="Times New Roman"/>
          <w:bCs/>
          <w:sz w:val="24"/>
          <w:szCs w:val="24"/>
        </w:rPr>
        <w:t xml:space="preserve">U slučaju da korisnik nije omogućio terensku kontrolu utroška dodijeljenih bespovratnih novčanih potpora za sufinanciranje razvoja lovstva na području Sisačko-moslavačke županije za 2026. godinu u utvrđenom roku ili nije stavio oznaku vidljivosti sukladno članku 16. Odluke - biti će isključen iz svih županijskih potpora u naredno jednoj (1) godini. </w:t>
      </w:r>
    </w:p>
    <w:p w14:paraId="3285B087">
      <w:pPr>
        <w:spacing w:after="0" w:line="240" w:lineRule="auto"/>
        <w:jc w:val="both"/>
        <w:rPr>
          <w:rFonts w:ascii="Times New Roman" w:hAnsi="Times New Roman" w:eastAsia="Times New Roman"/>
          <w:bCs/>
          <w:sz w:val="24"/>
          <w:szCs w:val="24"/>
          <w:lang w:eastAsia="hr-HR"/>
        </w:rPr>
      </w:pPr>
    </w:p>
    <w:tbl>
      <w:tblPr>
        <w:tblStyle w:val="13"/>
        <w:tblW w:w="5000" w:type="pct"/>
        <w:tblInd w:w="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autofit"/>
        <w:tblCellMar>
          <w:top w:w="28" w:type="dxa"/>
          <w:left w:w="113" w:type="dxa"/>
          <w:bottom w:w="28" w:type="dxa"/>
          <w:right w:w="0" w:type="dxa"/>
        </w:tblCellMar>
      </w:tblPr>
      <w:tblGrid>
        <w:gridCol w:w="9899"/>
      </w:tblGrid>
      <w:tr w14:paraId="652EBC6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28" w:type="dxa"/>
            <w:left w:w="113" w:type="dxa"/>
            <w:bottom w:w="28" w:type="dxa"/>
            <w:right w:w="0" w:type="dxa"/>
          </w:tblCellMar>
        </w:tblPrEx>
        <w:trPr>
          <w:trHeight w:val="418" w:hRule="exact"/>
        </w:trPr>
        <w:tc>
          <w:tcPr>
            <w:tcW w:w="5000" w:type="pct"/>
            <w:tcBorders>
              <w:top w:val="single" w:color="auto" w:sz="4" w:space="0"/>
              <w:left w:val="single" w:color="auto" w:sz="4" w:space="0"/>
              <w:bottom w:val="single" w:color="auto" w:sz="4" w:space="0"/>
              <w:right w:val="single" w:color="auto" w:sz="4" w:space="0"/>
            </w:tcBorders>
            <w:shd w:val="clear" w:color="auto" w:fill="E7E6E6" w:themeFill="background2"/>
            <w:vAlign w:val="center"/>
          </w:tcPr>
          <w:p w14:paraId="4DD1EC28">
            <w:pPr>
              <w:widowControl w:val="0"/>
              <w:suppressLineNumbers/>
              <w:shd w:val="clear" w:color="auto" w:fill="E7E6E6" w:themeFill="background2"/>
              <w:snapToGrid w:val="0"/>
              <w:rPr>
                <w:rFonts w:ascii="Times New Roman" w:hAnsi="Times New Roman"/>
                <w:b/>
                <w:bCs/>
                <w:sz w:val="24"/>
                <w:szCs w:val="24"/>
              </w:rPr>
            </w:pPr>
            <w:r>
              <w:rPr>
                <w:rFonts w:ascii="Times New Roman" w:hAnsi="Times New Roman"/>
                <w:b/>
                <w:bCs/>
                <w:sz w:val="24"/>
                <w:szCs w:val="24"/>
              </w:rPr>
              <w:t>Informacije</w:t>
            </w:r>
          </w:p>
          <w:p w14:paraId="095D8E74">
            <w:pPr>
              <w:widowControl w:val="0"/>
              <w:suppressLineNumbers/>
              <w:snapToGrid w:val="0"/>
              <w:rPr>
                <w:rFonts w:ascii="Times New Roman" w:hAnsi="Times New Roman"/>
                <w:b/>
                <w:bCs/>
                <w:sz w:val="24"/>
                <w:szCs w:val="24"/>
              </w:rPr>
            </w:pPr>
            <w:r>
              <w:rPr>
                <w:rFonts w:ascii="Times New Roman" w:hAnsi="Times New Roman"/>
                <w:b/>
                <w:bCs/>
                <w:sz w:val="24"/>
                <w:szCs w:val="24"/>
              </w:rPr>
              <w:t>I. OSNOVNI PODACI O PODNOSITELJU PRIJAVE PROGRAMA</w:t>
            </w:r>
          </w:p>
        </w:tc>
      </w:tr>
    </w:tbl>
    <w:p w14:paraId="4CFE811A">
      <w:pPr>
        <w:spacing w:after="0" w:line="240" w:lineRule="auto"/>
        <w:jc w:val="both"/>
        <w:rPr>
          <w:rFonts w:ascii="Times New Roman" w:hAnsi="Times New Roman" w:eastAsia="Times New Roman"/>
          <w:bCs/>
          <w:sz w:val="24"/>
          <w:szCs w:val="24"/>
          <w:lang w:eastAsia="hr-HR"/>
        </w:rPr>
      </w:pPr>
    </w:p>
    <w:p w14:paraId="5AAB9970">
      <w:pPr>
        <w:spacing w:after="0" w:line="240" w:lineRule="auto"/>
        <w:jc w:val="both"/>
        <w:rPr>
          <w:rFonts w:ascii="Times New Roman" w:hAnsi="Times New Roman" w:eastAsia="Times New Roman"/>
          <w:bCs/>
          <w:color w:val="000000"/>
          <w:sz w:val="24"/>
          <w:szCs w:val="24"/>
          <w:u w:val="single"/>
          <w:lang w:eastAsia="hr-HR"/>
        </w:rPr>
      </w:pPr>
      <w:r>
        <w:rPr>
          <w:rFonts w:ascii="Times New Roman" w:hAnsi="Times New Roman" w:eastAsia="Times New Roman"/>
          <w:bCs/>
          <w:sz w:val="24"/>
          <w:szCs w:val="24"/>
          <w:lang w:eastAsia="hr-HR"/>
        </w:rPr>
        <w:t xml:space="preserve">Za sve informacije vezane uz Javni poziv prijavitelji mogu postavljati pisane upite na e-mail adresu </w:t>
      </w:r>
      <w:r>
        <w:fldChar w:fldCharType="begin"/>
      </w:r>
      <w:r>
        <w:instrText xml:space="preserve"> HYPERLINK "mailto:lovstvo@smz.hr" </w:instrText>
      </w:r>
      <w:r>
        <w:fldChar w:fldCharType="separate"/>
      </w:r>
      <w:r>
        <w:rPr>
          <w:rStyle w:val="19"/>
          <w:rFonts w:ascii="Times New Roman" w:hAnsi="Times New Roman" w:eastAsia="Times New Roman"/>
          <w:bCs/>
          <w:sz w:val="24"/>
          <w:szCs w:val="24"/>
          <w:lang w:eastAsia="hr-HR"/>
        </w:rPr>
        <w:t>lovstvo@smz.hr</w:t>
      </w:r>
      <w:r>
        <w:rPr>
          <w:rStyle w:val="19"/>
          <w:rFonts w:ascii="Times New Roman" w:hAnsi="Times New Roman" w:eastAsia="Times New Roman"/>
          <w:bCs/>
          <w:sz w:val="24"/>
          <w:szCs w:val="24"/>
          <w:lang w:eastAsia="hr-HR"/>
        </w:rPr>
        <w:fldChar w:fldCharType="end"/>
      </w:r>
      <w:r>
        <w:rPr>
          <w:rFonts w:ascii="Times New Roman" w:hAnsi="Times New Roman" w:eastAsia="Times New Roman"/>
          <w:bCs/>
          <w:color w:val="000000"/>
          <w:sz w:val="24"/>
          <w:szCs w:val="24"/>
          <w:u w:val="single"/>
          <w:lang w:eastAsia="hr-HR"/>
        </w:rPr>
        <w:t xml:space="preserve"> </w:t>
      </w:r>
      <w:r>
        <w:rPr>
          <w:rFonts w:ascii="Times New Roman" w:hAnsi="Times New Roman" w:eastAsia="Times New Roman"/>
          <w:bCs/>
          <w:sz w:val="24"/>
          <w:szCs w:val="24"/>
          <w:lang w:eastAsia="hr-HR"/>
        </w:rPr>
        <w:t xml:space="preserve">od dana objave Javnog poziva pa do 28. rujna 2026. godine do 12,00 sati. </w:t>
      </w:r>
    </w:p>
    <w:p w14:paraId="3DE584CE">
      <w:pPr>
        <w:spacing w:after="0" w:line="240" w:lineRule="auto"/>
        <w:jc w:val="both"/>
        <w:rPr>
          <w:rFonts w:ascii="Times New Roman" w:hAnsi="Times New Roman" w:eastAsia="Times New Roman"/>
          <w:bCs/>
          <w:sz w:val="24"/>
          <w:szCs w:val="24"/>
          <w:lang w:eastAsia="hr-HR"/>
        </w:rPr>
      </w:pPr>
    </w:p>
    <w:p w14:paraId="042A331C">
      <w:pPr>
        <w:spacing w:after="0" w:line="240" w:lineRule="auto"/>
        <w:jc w:val="both"/>
        <w:rPr>
          <w:rFonts w:ascii="Times New Roman" w:hAnsi="Times New Roman"/>
          <w:sz w:val="24"/>
          <w:szCs w:val="24"/>
        </w:rPr>
      </w:pPr>
      <w:r>
        <w:rPr>
          <w:rFonts w:ascii="Times New Roman" w:hAnsi="Times New Roman" w:eastAsia="Times New Roman"/>
          <w:bCs/>
          <w:sz w:val="24"/>
          <w:szCs w:val="24"/>
          <w:lang w:eastAsia="hr-HR"/>
        </w:rPr>
        <w:t xml:space="preserve">Na mrežnim stranicama Sisačko-moslavačke županije </w:t>
      </w:r>
      <w:r>
        <w:fldChar w:fldCharType="begin"/>
      </w:r>
      <w:r>
        <w:instrText xml:space="preserve"> HYPERLINK "http://www.smz.hr" </w:instrText>
      </w:r>
      <w:r>
        <w:fldChar w:fldCharType="separate"/>
      </w:r>
      <w:r>
        <w:rPr>
          <w:rStyle w:val="19"/>
          <w:rFonts w:ascii="Times New Roman" w:hAnsi="Times New Roman"/>
          <w:sz w:val="24"/>
          <w:szCs w:val="24"/>
        </w:rPr>
        <w:t>www.smz.hr</w:t>
      </w:r>
      <w:r>
        <w:rPr>
          <w:rStyle w:val="19"/>
          <w:rFonts w:ascii="Times New Roman" w:hAnsi="Times New Roman"/>
          <w:sz w:val="24"/>
          <w:szCs w:val="24"/>
        </w:rPr>
        <w:fldChar w:fldCharType="end"/>
      </w:r>
      <w:r>
        <w:t xml:space="preserve"> </w:t>
      </w:r>
      <w:r>
        <w:rPr>
          <w:rFonts w:ascii="Times New Roman" w:hAnsi="Times New Roman" w:eastAsia="Times New Roman"/>
          <w:bCs/>
          <w:sz w:val="24"/>
          <w:szCs w:val="24"/>
          <w:lang w:eastAsia="hr-HR"/>
        </w:rPr>
        <w:t>biti će objavljeni odgovori na postavljena pitanja.</w:t>
      </w:r>
    </w:p>
    <w:p w14:paraId="61F76F58">
      <w:pPr>
        <w:spacing w:after="0" w:line="240" w:lineRule="auto"/>
        <w:jc w:val="both"/>
        <w:rPr>
          <w:rFonts w:ascii="Times New Roman" w:hAnsi="Times New Roman"/>
          <w:sz w:val="24"/>
          <w:szCs w:val="24"/>
        </w:rPr>
      </w:pPr>
    </w:p>
    <w:p w14:paraId="6C776952">
      <w:pPr>
        <w:spacing w:after="0" w:line="240" w:lineRule="auto"/>
        <w:jc w:val="both"/>
        <w:rPr>
          <w:rFonts w:ascii="Times New Roman" w:hAnsi="Times New Roman"/>
          <w:sz w:val="24"/>
          <w:szCs w:val="24"/>
        </w:rPr>
      </w:pPr>
    </w:p>
    <w:tbl>
      <w:tblPr>
        <w:tblStyle w:val="13"/>
        <w:tblW w:w="5000" w:type="pct"/>
        <w:tblInd w:w="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autofit"/>
        <w:tblCellMar>
          <w:top w:w="28" w:type="dxa"/>
          <w:left w:w="113" w:type="dxa"/>
          <w:bottom w:w="28" w:type="dxa"/>
          <w:right w:w="0" w:type="dxa"/>
        </w:tblCellMar>
      </w:tblPr>
      <w:tblGrid>
        <w:gridCol w:w="9899"/>
      </w:tblGrid>
      <w:tr w14:paraId="5EB1453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28" w:type="dxa"/>
            <w:left w:w="113" w:type="dxa"/>
            <w:bottom w:w="28" w:type="dxa"/>
            <w:right w:w="0" w:type="dxa"/>
          </w:tblCellMar>
        </w:tblPrEx>
        <w:trPr>
          <w:trHeight w:val="418" w:hRule="exact"/>
        </w:trPr>
        <w:tc>
          <w:tcPr>
            <w:tcW w:w="5000" w:type="pct"/>
            <w:tcBorders>
              <w:top w:val="single" w:color="auto" w:sz="4" w:space="0"/>
              <w:left w:val="single" w:color="auto" w:sz="4" w:space="0"/>
              <w:bottom w:val="single" w:color="auto" w:sz="4" w:space="0"/>
              <w:right w:val="single" w:color="auto" w:sz="4" w:space="0"/>
            </w:tcBorders>
            <w:shd w:val="clear" w:color="auto" w:fill="E7E6E6" w:themeFill="background2"/>
            <w:vAlign w:val="center"/>
          </w:tcPr>
          <w:p w14:paraId="3C104D46">
            <w:pPr>
              <w:widowControl w:val="0"/>
              <w:suppressLineNumbers/>
              <w:snapToGrid w:val="0"/>
              <w:rPr>
                <w:rFonts w:ascii="Times New Roman" w:hAnsi="Times New Roman"/>
                <w:b/>
                <w:bCs/>
                <w:sz w:val="24"/>
                <w:szCs w:val="24"/>
              </w:rPr>
            </w:pPr>
            <w:r>
              <w:rPr>
                <w:rFonts w:ascii="Times New Roman" w:hAnsi="Times New Roman"/>
                <w:b/>
                <w:bCs/>
                <w:sz w:val="24"/>
                <w:szCs w:val="24"/>
              </w:rPr>
              <w:t>Oznaka vidljivosti</w:t>
            </w:r>
          </w:p>
          <w:p w14:paraId="58715237">
            <w:pPr>
              <w:widowControl w:val="0"/>
              <w:suppressLineNumbers/>
              <w:shd w:val="clear" w:color="auto" w:fill="E7E6E6" w:themeFill="background2"/>
              <w:snapToGrid w:val="0"/>
              <w:rPr>
                <w:rFonts w:ascii="Times New Roman" w:hAnsi="Times New Roman"/>
                <w:b/>
                <w:bCs/>
                <w:sz w:val="24"/>
                <w:szCs w:val="24"/>
              </w:rPr>
            </w:pPr>
          </w:p>
          <w:p w14:paraId="0E6BF561">
            <w:pPr>
              <w:widowControl w:val="0"/>
              <w:suppressLineNumbers/>
              <w:snapToGrid w:val="0"/>
              <w:rPr>
                <w:rFonts w:ascii="Times New Roman" w:hAnsi="Times New Roman"/>
                <w:b/>
                <w:bCs/>
                <w:sz w:val="24"/>
                <w:szCs w:val="24"/>
              </w:rPr>
            </w:pPr>
            <w:r>
              <w:rPr>
                <w:rFonts w:ascii="Times New Roman" w:hAnsi="Times New Roman"/>
                <w:b/>
                <w:bCs/>
                <w:sz w:val="24"/>
                <w:szCs w:val="24"/>
              </w:rPr>
              <w:t>I. OSNOVNI PODACI O PODNOSITELJU PRIJAVE PROGRAMA</w:t>
            </w:r>
          </w:p>
        </w:tc>
      </w:tr>
    </w:tbl>
    <w:p w14:paraId="51B8DA38">
      <w:pPr>
        <w:spacing w:after="0" w:line="240" w:lineRule="auto"/>
        <w:rPr>
          <w:rFonts w:ascii="Times New Roman" w:hAnsi="Times New Roman"/>
          <w:sz w:val="24"/>
          <w:szCs w:val="24"/>
        </w:rPr>
      </w:pPr>
    </w:p>
    <w:p w14:paraId="3B9879A0">
      <w:pPr>
        <w:spacing w:after="0" w:line="240" w:lineRule="auto"/>
        <w:jc w:val="both"/>
        <w:rPr>
          <w:rFonts w:ascii="Times New Roman" w:hAnsi="Times New Roman"/>
          <w:sz w:val="24"/>
          <w:szCs w:val="24"/>
        </w:rPr>
      </w:pPr>
      <w:r>
        <w:rPr>
          <w:rFonts w:ascii="Times New Roman" w:hAnsi="Times New Roman"/>
          <w:sz w:val="24"/>
          <w:szCs w:val="24"/>
        </w:rPr>
        <w:t xml:space="preserve">Korisnici bespovratnih novčanih potpora </w:t>
      </w:r>
      <w:r>
        <w:rPr>
          <w:rFonts w:ascii="Times New Roman" w:hAnsi="Times New Roman" w:eastAsia="Times New Roman"/>
          <w:sz w:val="24"/>
          <w:szCs w:val="24"/>
          <w:lang w:eastAsia="hr-HR"/>
        </w:rPr>
        <w:t>za provedu Mjere 1. (samo za Aktivnosti 1.1., 1.2. i 1.3.)</w:t>
      </w:r>
      <w:r>
        <w:rPr>
          <w:rFonts w:ascii="Times New Roman" w:hAnsi="Times New Roman"/>
          <w:sz w:val="24"/>
          <w:szCs w:val="24"/>
        </w:rPr>
        <w:t xml:space="preserve"> dužni su postaviti oznaku vidljivosti na objekt ili predmet za koji je dodijeljena bespovratna novčana potpora prema sljedećem predlošku: </w:t>
      </w:r>
    </w:p>
    <w:p w14:paraId="73EE4B53">
      <w:pPr>
        <w:spacing w:after="0" w:line="240" w:lineRule="auto"/>
        <w:jc w:val="both"/>
        <w:rPr>
          <w:rFonts w:ascii="Times New Roman" w:hAnsi="Times New Roman"/>
          <w:sz w:val="24"/>
          <w:szCs w:val="24"/>
        </w:rPr>
      </w:pPr>
    </w:p>
    <w:tbl>
      <w:tblPr>
        <w:tblStyle w:val="13"/>
        <w:tblW w:w="9444"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44"/>
      </w:tblGrid>
      <w:tr w14:paraId="297DC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0" w:hRule="atLeast"/>
        </w:trPr>
        <w:tc>
          <w:tcPr>
            <w:tcW w:w="9444" w:type="dxa"/>
          </w:tcPr>
          <w:p w14:paraId="10107301">
            <w:pPr>
              <w:ind w:left="265"/>
            </w:pPr>
          </w:p>
          <w:p w14:paraId="62189E11">
            <w:pPr>
              <w:ind w:left="265"/>
              <w:jc w:val="center"/>
              <w:rPr>
                <w:lang w:eastAsia="hr-HR"/>
              </w:rPr>
            </w:pPr>
            <w:r>
              <w:rPr>
                <w:lang w:eastAsia="hr-HR"/>
              </w:rPr>
              <w:drawing>
                <wp:inline distT="0" distB="0" distL="0" distR="0">
                  <wp:extent cx="1188720" cy="118872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88720" cy="1188720"/>
                          </a:xfrm>
                          <a:prstGeom prst="rect">
                            <a:avLst/>
                          </a:prstGeom>
                        </pic:spPr>
                      </pic:pic>
                    </a:graphicData>
                  </a:graphic>
                </wp:inline>
              </w:drawing>
            </w:r>
          </w:p>
          <w:p w14:paraId="6574CE8F">
            <w:pPr>
              <w:spacing w:after="0"/>
              <w:ind w:left="265"/>
              <w:jc w:val="center"/>
              <w:rPr>
                <w:rFonts w:ascii="Times New Roman" w:hAnsi="Times New Roman"/>
                <w:b/>
                <w:sz w:val="28"/>
                <w:szCs w:val="28"/>
                <w:lang w:eastAsia="hr-HR"/>
              </w:rPr>
            </w:pPr>
            <w:r>
              <w:rPr>
                <w:rFonts w:ascii="Times New Roman" w:hAnsi="Times New Roman"/>
                <w:b/>
                <w:sz w:val="28"/>
                <w:szCs w:val="28"/>
                <w:lang w:eastAsia="hr-HR"/>
              </w:rPr>
              <w:t>SUFINANCIRANO SREDSTVIMA</w:t>
            </w:r>
          </w:p>
          <w:p w14:paraId="4D2542BA">
            <w:pPr>
              <w:spacing w:after="0"/>
              <w:ind w:left="265"/>
              <w:jc w:val="center"/>
            </w:pPr>
            <w:r>
              <w:rPr>
                <w:rFonts w:ascii="Times New Roman" w:hAnsi="Times New Roman"/>
                <w:b/>
                <w:sz w:val="28"/>
                <w:szCs w:val="28"/>
                <w:lang w:eastAsia="hr-HR"/>
              </w:rPr>
              <w:t>SISAČKO-MOSLAVAČKE ŽUPANIJE ZA 2026. GODINU</w:t>
            </w:r>
          </w:p>
        </w:tc>
      </w:tr>
    </w:tbl>
    <w:p w14:paraId="5846FE92">
      <w:pPr>
        <w:spacing w:after="0" w:line="240" w:lineRule="auto"/>
        <w:jc w:val="both"/>
        <w:rPr>
          <w:rFonts w:eastAsia="Times New Roman"/>
        </w:rPr>
      </w:pPr>
    </w:p>
    <w:p w14:paraId="36A11483">
      <w:pPr>
        <w:spacing w:after="0" w:line="240" w:lineRule="auto"/>
        <w:jc w:val="both"/>
        <w:rPr>
          <w:rFonts w:ascii="Times New Roman" w:hAnsi="Times New Roman" w:eastAsia="Times New Roman"/>
          <w:sz w:val="24"/>
          <w:szCs w:val="24"/>
          <w:lang w:eastAsia="hr-HR"/>
        </w:rPr>
      </w:pPr>
      <w:r>
        <w:rPr>
          <w:rFonts w:ascii="Times New Roman" w:hAnsi="Times New Roman" w:eastAsia="Times New Roman"/>
          <w:b/>
          <w:bCs/>
          <w:sz w:val="24"/>
          <w:szCs w:val="24"/>
          <w:lang w:eastAsia="hr-HR"/>
        </w:rPr>
        <w:t xml:space="preserve">         Navedena oznaka vidljivosti mora biti napravljena od materijala duže trajnosti. </w:t>
      </w:r>
    </w:p>
    <w:sectPr>
      <w:footerReference r:id="rId5" w:type="default"/>
      <w:pgSz w:w="11906" w:h="16838"/>
      <w:pgMar w:top="1276" w:right="991" w:bottom="1276" w:left="1134" w:header="708" w:footer="324"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EE"/>
    <w:family w:val="swiss"/>
    <w:pitch w:val="default"/>
    <w:sig w:usb0="E4002EFF" w:usb1="C000247B" w:usb2="00000009" w:usb3="00000000" w:csb0="200001FF" w:csb1="00000000"/>
  </w:font>
  <w:font w:name="Cambria">
    <w:panose1 w:val="02040503050406030204"/>
    <w:charset w:val="EE"/>
    <w:family w:val="roman"/>
    <w:pitch w:val="default"/>
    <w:sig w:usb0="E00006FF" w:usb1="420024FF" w:usb2="02000000" w:usb3="00000000" w:csb0="2000019F" w:csb1="00000000"/>
  </w:font>
  <w:font w:name="Segoe UI">
    <w:panose1 w:val="020B0502040204020203"/>
    <w:charset w:val="00"/>
    <w:family w:val="swiss"/>
    <w:pitch w:val="default"/>
    <w:sig w:usb0="E4002EFF" w:usb1="C000E47F" w:usb2="00000009" w:usb3="00000000" w:csb0="200001FF" w:csb1="00000000"/>
  </w:font>
  <w:font w:name="Batang">
    <w:altName w:val="Malgun Gothic"/>
    <w:panose1 w:val="02030600000101010101"/>
    <w:charset w:val="81"/>
    <w:family w:val="roman"/>
    <w:pitch w:val="default"/>
    <w:sig w:usb0="00000000" w:usb1="00000000" w:usb2="00000030" w:usb3="00000000" w:csb0="0008009F" w:csb1="00000000"/>
  </w:font>
  <w:font w:name="바탕">
    <w:altName w:val="Segoe Print"/>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EE"/>
    <w:family w:val="modern"/>
    <w:pitch w:val="default"/>
    <w:sig w:usb0="E0002EFF" w:usb1="C0007843" w:usb2="00000009" w:usb3="00000000" w:csb0="400001FF" w:csb1="FFFF0000"/>
  </w:font>
  <w:font w:name="PMingLiU">
    <w:altName w:val="Microsoft JhengHei UI"/>
    <w:panose1 w:val="02010601000101010101"/>
    <w:charset w:val="88"/>
    <w:family w:val="roman"/>
    <w:pitch w:val="default"/>
    <w:sig w:usb0="00000000" w:usb1="00000000" w:usb2="00000016" w:usb3="00000000" w:csb0="00100001" w:csb1="00000000"/>
  </w:font>
  <w:font w:name="PMingLiU">
    <w:altName w:val="Segoe Print"/>
    <w:panose1 w:val="00000000000000000000"/>
    <w:charset w:val="00"/>
    <w:family w:val="auto"/>
    <w:pitch w:val="default"/>
    <w:sig w:usb0="00000000" w:usb1="00000000" w:usb2="00000000" w:usb3="00000000" w:csb0="00000000" w:csb1="00000000"/>
  </w:font>
  <w:font w:name="Malgun Gothic">
    <w:panose1 w:val="020B0503020000020004"/>
    <w:charset w:val="81"/>
    <w:family w:val="auto"/>
    <w:pitch w:val="default"/>
    <w:sig w:usb0="9000002F" w:usb1="29D77CFB" w:usb2="00000012" w:usb3="00000000" w:csb0="00080001" w:csb1="00000000"/>
  </w:font>
  <w:font w:name="Segoe Print">
    <w:panose1 w:val="02000600000000000000"/>
    <w:charset w:val="00"/>
    <w:family w:val="auto"/>
    <w:pitch w:val="default"/>
    <w:sig w:usb0="0000028F" w:usb1="00000000" w:usb2="00000000" w:usb3="00000000" w:csb0="2000009F" w:csb1="47010000"/>
  </w:font>
  <w:font w:name="Microsoft JhengHei U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51249059"/>
    </w:sdtPr>
    <w:sdtContent>
      <w:p w14:paraId="61C9ABA5">
        <w:pPr>
          <w:pStyle w:val="17"/>
          <w:jc w:val="right"/>
        </w:pPr>
        <w:r>
          <w:fldChar w:fldCharType="begin"/>
        </w:r>
        <w:r>
          <w:instrText xml:space="preserve">PAGE   \* MERGEFORMAT</w:instrText>
        </w:r>
        <w:r>
          <w:fldChar w:fldCharType="separate"/>
        </w:r>
        <w:r>
          <w:t>2</w:t>
        </w:r>
        <w:r>
          <w:fldChar w:fldCharType="end"/>
        </w:r>
      </w:p>
    </w:sdtContent>
  </w:sdt>
  <w:p w14:paraId="10CAB76E">
    <w:pPr>
      <w:pStyle w:val="1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187C66"/>
    <w:multiLevelType w:val="multilevel"/>
    <w:tmpl w:val="0A187C66"/>
    <w:lvl w:ilvl="0" w:tentative="0">
      <w:start w:val="1"/>
      <w:numFmt w:val="bullet"/>
      <w:lvlText w:val=""/>
      <w:lvlJc w:val="left"/>
      <w:pPr>
        <w:ind w:left="644" w:hanging="360"/>
      </w:pPr>
      <w:rPr>
        <w:rFonts w:hint="default" w:ascii="Symbol" w:hAnsi="Symbol"/>
      </w:rPr>
    </w:lvl>
    <w:lvl w:ilvl="1" w:tentative="0">
      <w:start w:val="1"/>
      <w:numFmt w:val="bullet"/>
      <w:lvlText w:val="o"/>
      <w:lvlJc w:val="left"/>
      <w:pPr>
        <w:ind w:left="1364" w:hanging="360"/>
      </w:pPr>
      <w:rPr>
        <w:rFonts w:hint="default" w:ascii="Courier New" w:hAnsi="Courier New" w:cs="Courier New"/>
      </w:rPr>
    </w:lvl>
    <w:lvl w:ilvl="2" w:tentative="0">
      <w:start w:val="1"/>
      <w:numFmt w:val="bullet"/>
      <w:lvlText w:val=""/>
      <w:lvlJc w:val="left"/>
      <w:pPr>
        <w:ind w:left="2084" w:hanging="360"/>
      </w:pPr>
      <w:rPr>
        <w:rFonts w:hint="default" w:ascii="Wingdings" w:hAnsi="Wingdings"/>
      </w:rPr>
    </w:lvl>
    <w:lvl w:ilvl="3" w:tentative="0">
      <w:start w:val="1"/>
      <w:numFmt w:val="bullet"/>
      <w:lvlText w:val=""/>
      <w:lvlJc w:val="left"/>
      <w:pPr>
        <w:ind w:left="2804" w:hanging="360"/>
      </w:pPr>
      <w:rPr>
        <w:rFonts w:hint="default" w:ascii="Symbol" w:hAnsi="Symbol"/>
      </w:rPr>
    </w:lvl>
    <w:lvl w:ilvl="4" w:tentative="0">
      <w:start w:val="1"/>
      <w:numFmt w:val="bullet"/>
      <w:lvlText w:val="o"/>
      <w:lvlJc w:val="left"/>
      <w:pPr>
        <w:ind w:left="3524" w:hanging="360"/>
      </w:pPr>
      <w:rPr>
        <w:rFonts w:hint="default" w:ascii="Courier New" w:hAnsi="Courier New" w:cs="Courier New"/>
      </w:rPr>
    </w:lvl>
    <w:lvl w:ilvl="5" w:tentative="0">
      <w:start w:val="1"/>
      <w:numFmt w:val="bullet"/>
      <w:lvlText w:val=""/>
      <w:lvlJc w:val="left"/>
      <w:pPr>
        <w:ind w:left="4244" w:hanging="360"/>
      </w:pPr>
      <w:rPr>
        <w:rFonts w:hint="default" w:ascii="Wingdings" w:hAnsi="Wingdings"/>
      </w:rPr>
    </w:lvl>
    <w:lvl w:ilvl="6" w:tentative="0">
      <w:start w:val="1"/>
      <w:numFmt w:val="bullet"/>
      <w:lvlText w:val=""/>
      <w:lvlJc w:val="left"/>
      <w:pPr>
        <w:ind w:left="4964" w:hanging="360"/>
      </w:pPr>
      <w:rPr>
        <w:rFonts w:hint="default" w:ascii="Symbol" w:hAnsi="Symbol"/>
      </w:rPr>
    </w:lvl>
    <w:lvl w:ilvl="7" w:tentative="0">
      <w:start w:val="1"/>
      <w:numFmt w:val="bullet"/>
      <w:lvlText w:val="o"/>
      <w:lvlJc w:val="left"/>
      <w:pPr>
        <w:ind w:left="5684" w:hanging="360"/>
      </w:pPr>
      <w:rPr>
        <w:rFonts w:hint="default" w:ascii="Courier New" w:hAnsi="Courier New" w:cs="Courier New"/>
      </w:rPr>
    </w:lvl>
    <w:lvl w:ilvl="8" w:tentative="0">
      <w:start w:val="1"/>
      <w:numFmt w:val="bullet"/>
      <w:lvlText w:val=""/>
      <w:lvlJc w:val="left"/>
      <w:pPr>
        <w:ind w:left="6404" w:hanging="360"/>
      </w:pPr>
      <w:rPr>
        <w:rFonts w:hint="default" w:ascii="Wingdings" w:hAnsi="Wingdings"/>
      </w:rPr>
    </w:lvl>
  </w:abstractNum>
  <w:abstractNum w:abstractNumId="1">
    <w:nsid w:val="2DEE3B14"/>
    <w:multiLevelType w:val="multilevel"/>
    <w:tmpl w:val="2DEE3B14"/>
    <w:lvl w:ilvl="0" w:tentative="0">
      <w:start w:val="1"/>
      <w:numFmt w:val="decimal"/>
      <w:lvlText w:val="%1."/>
      <w:lvlJc w:val="left"/>
      <w:pPr>
        <w:ind w:left="786" w:hanging="360"/>
      </w:pPr>
      <w:rPr>
        <w:rFonts w:hint="default"/>
        <w:b/>
        <w:bCs/>
        <w:sz w:val="24"/>
        <w:szCs w:val="24"/>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383452C7"/>
    <w:multiLevelType w:val="multilevel"/>
    <w:tmpl w:val="383452C7"/>
    <w:lvl w:ilvl="0" w:tentative="0">
      <w:start w:val="1"/>
      <w:numFmt w:val="bullet"/>
      <w:lvlText w:val=""/>
      <w:lvlJc w:val="left"/>
      <w:pPr>
        <w:ind w:left="1428" w:hanging="360"/>
      </w:pPr>
      <w:rPr>
        <w:rFonts w:hint="default" w:ascii="Symbol" w:hAnsi="Symbol"/>
      </w:rPr>
    </w:lvl>
    <w:lvl w:ilvl="1" w:tentative="0">
      <w:start w:val="1"/>
      <w:numFmt w:val="bullet"/>
      <w:lvlText w:val="o"/>
      <w:lvlJc w:val="left"/>
      <w:pPr>
        <w:ind w:left="2148" w:hanging="360"/>
      </w:pPr>
      <w:rPr>
        <w:rFonts w:hint="default" w:ascii="Courier New" w:hAnsi="Courier New" w:cs="Courier New"/>
      </w:rPr>
    </w:lvl>
    <w:lvl w:ilvl="2" w:tentative="0">
      <w:start w:val="1"/>
      <w:numFmt w:val="bullet"/>
      <w:lvlText w:val=""/>
      <w:lvlJc w:val="left"/>
      <w:pPr>
        <w:ind w:left="2868" w:hanging="360"/>
      </w:pPr>
      <w:rPr>
        <w:rFonts w:hint="default" w:ascii="Wingdings" w:hAnsi="Wingdings"/>
      </w:rPr>
    </w:lvl>
    <w:lvl w:ilvl="3" w:tentative="0">
      <w:start w:val="1"/>
      <w:numFmt w:val="bullet"/>
      <w:lvlText w:val=""/>
      <w:lvlJc w:val="left"/>
      <w:pPr>
        <w:ind w:left="3588" w:hanging="360"/>
      </w:pPr>
      <w:rPr>
        <w:rFonts w:hint="default" w:ascii="Symbol" w:hAnsi="Symbol"/>
      </w:rPr>
    </w:lvl>
    <w:lvl w:ilvl="4" w:tentative="0">
      <w:start w:val="1"/>
      <w:numFmt w:val="bullet"/>
      <w:lvlText w:val="o"/>
      <w:lvlJc w:val="left"/>
      <w:pPr>
        <w:ind w:left="4308" w:hanging="360"/>
      </w:pPr>
      <w:rPr>
        <w:rFonts w:hint="default" w:ascii="Courier New" w:hAnsi="Courier New" w:cs="Courier New"/>
      </w:rPr>
    </w:lvl>
    <w:lvl w:ilvl="5" w:tentative="0">
      <w:start w:val="1"/>
      <w:numFmt w:val="bullet"/>
      <w:lvlText w:val=""/>
      <w:lvlJc w:val="left"/>
      <w:pPr>
        <w:ind w:left="5028" w:hanging="360"/>
      </w:pPr>
      <w:rPr>
        <w:rFonts w:hint="default" w:ascii="Wingdings" w:hAnsi="Wingdings"/>
      </w:rPr>
    </w:lvl>
    <w:lvl w:ilvl="6" w:tentative="0">
      <w:start w:val="1"/>
      <w:numFmt w:val="bullet"/>
      <w:lvlText w:val=""/>
      <w:lvlJc w:val="left"/>
      <w:pPr>
        <w:ind w:left="5748" w:hanging="360"/>
      </w:pPr>
      <w:rPr>
        <w:rFonts w:hint="default" w:ascii="Symbol" w:hAnsi="Symbol"/>
      </w:rPr>
    </w:lvl>
    <w:lvl w:ilvl="7" w:tentative="0">
      <w:start w:val="1"/>
      <w:numFmt w:val="bullet"/>
      <w:lvlText w:val="o"/>
      <w:lvlJc w:val="left"/>
      <w:pPr>
        <w:ind w:left="6468" w:hanging="360"/>
      </w:pPr>
      <w:rPr>
        <w:rFonts w:hint="default" w:ascii="Courier New" w:hAnsi="Courier New" w:cs="Courier New"/>
      </w:rPr>
    </w:lvl>
    <w:lvl w:ilvl="8" w:tentative="0">
      <w:start w:val="1"/>
      <w:numFmt w:val="bullet"/>
      <w:lvlText w:val=""/>
      <w:lvlJc w:val="left"/>
      <w:pPr>
        <w:ind w:left="7188" w:hanging="360"/>
      </w:pPr>
      <w:rPr>
        <w:rFonts w:hint="default" w:ascii="Wingdings" w:hAnsi="Wingdings"/>
      </w:rPr>
    </w:lvl>
  </w:abstractNum>
  <w:abstractNum w:abstractNumId="3">
    <w:nsid w:val="507F59DA"/>
    <w:multiLevelType w:val="multilevel"/>
    <w:tmpl w:val="507F59DA"/>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54A176A1"/>
    <w:multiLevelType w:val="multilevel"/>
    <w:tmpl w:val="54A176A1"/>
    <w:lvl w:ilvl="0" w:tentative="0">
      <w:start w:val="0"/>
      <w:numFmt w:val="bullet"/>
      <w:lvlText w:val="-"/>
      <w:lvlJc w:val="left"/>
      <w:pPr>
        <w:ind w:left="1830" w:hanging="360"/>
      </w:pPr>
      <w:rPr>
        <w:rFonts w:hint="default" w:ascii="Times New Roman" w:hAnsi="Times New Roman" w:eastAsia="Times New Roman" w:cs="Times New Roman"/>
      </w:rPr>
    </w:lvl>
    <w:lvl w:ilvl="1" w:tentative="0">
      <w:start w:val="1"/>
      <w:numFmt w:val="bullet"/>
      <w:lvlText w:val="o"/>
      <w:lvlJc w:val="left"/>
      <w:pPr>
        <w:ind w:left="2550" w:hanging="360"/>
      </w:pPr>
      <w:rPr>
        <w:rFonts w:hint="default" w:ascii="Courier New" w:hAnsi="Courier New" w:cs="Courier New"/>
      </w:rPr>
    </w:lvl>
    <w:lvl w:ilvl="2" w:tentative="0">
      <w:start w:val="1"/>
      <w:numFmt w:val="bullet"/>
      <w:lvlText w:val=""/>
      <w:lvlJc w:val="left"/>
      <w:pPr>
        <w:ind w:left="3270" w:hanging="360"/>
      </w:pPr>
      <w:rPr>
        <w:rFonts w:hint="default" w:ascii="Wingdings" w:hAnsi="Wingdings"/>
      </w:rPr>
    </w:lvl>
    <w:lvl w:ilvl="3" w:tentative="0">
      <w:start w:val="1"/>
      <w:numFmt w:val="bullet"/>
      <w:lvlText w:val=""/>
      <w:lvlJc w:val="left"/>
      <w:pPr>
        <w:ind w:left="3990" w:hanging="360"/>
      </w:pPr>
      <w:rPr>
        <w:rFonts w:hint="default" w:ascii="Symbol" w:hAnsi="Symbol"/>
      </w:rPr>
    </w:lvl>
    <w:lvl w:ilvl="4" w:tentative="0">
      <w:start w:val="1"/>
      <w:numFmt w:val="bullet"/>
      <w:lvlText w:val="o"/>
      <w:lvlJc w:val="left"/>
      <w:pPr>
        <w:ind w:left="4710" w:hanging="360"/>
      </w:pPr>
      <w:rPr>
        <w:rFonts w:hint="default" w:ascii="Courier New" w:hAnsi="Courier New" w:cs="Courier New"/>
      </w:rPr>
    </w:lvl>
    <w:lvl w:ilvl="5" w:tentative="0">
      <w:start w:val="1"/>
      <w:numFmt w:val="bullet"/>
      <w:lvlText w:val=""/>
      <w:lvlJc w:val="left"/>
      <w:pPr>
        <w:ind w:left="5430" w:hanging="360"/>
      </w:pPr>
      <w:rPr>
        <w:rFonts w:hint="default" w:ascii="Wingdings" w:hAnsi="Wingdings"/>
      </w:rPr>
    </w:lvl>
    <w:lvl w:ilvl="6" w:tentative="0">
      <w:start w:val="1"/>
      <w:numFmt w:val="bullet"/>
      <w:lvlText w:val=""/>
      <w:lvlJc w:val="left"/>
      <w:pPr>
        <w:ind w:left="6150" w:hanging="360"/>
      </w:pPr>
      <w:rPr>
        <w:rFonts w:hint="default" w:ascii="Symbol" w:hAnsi="Symbol"/>
      </w:rPr>
    </w:lvl>
    <w:lvl w:ilvl="7" w:tentative="0">
      <w:start w:val="1"/>
      <w:numFmt w:val="bullet"/>
      <w:lvlText w:val="o"/>
      <w:lvlJc w:val="left"/>
      <w:pPr>
        <w:ind w:left="6870" w:hanging="360"/>
      </w:pPr>
      <w:rPr>
        <w:rFonts w:hint="default" w:ascii="Courier New" w:hAnsi="Courier New" w:cs="Courier New"/>
      </w:rPr>
    </w:lvl>
    <w:lvl w:ilvl="8" w:tentative="0">
      <w:start w:val="1"/>
      <w:numFmt w:val="bullet"/>
      <w:lvlText w:val=""/>
      <w:lvlJc w:val="left"/>
      <w:pPr>
        <w:ind w:left="7590" w:hanging="360"/>
      </w:pPr>
      <w:rPr>
        <w:rFonts w:hint="default" w:ascii="Wingdings" w:hAnsi="Wingdings"/>
      </w:rPr>
    </w:lvl>
  </w:abstractNum>
  <w:abstractNum w:abstractNumId="5">
    <w:nsid w:val="5C892DF1"/>
    <w:multiLevelType w:val="multilevel"/>
    <w:tmpl w:val="5C892DF1"/>
    <w:lvl w:ilvl="0" w:tentative="0">
      <w:start w:val="1"/>
      <w:numFmt w:val="upperLetter"/>
      <w:lvlText w:val="%1)"/>
      <w:lvlJc w:val="left"/>
      <w:pPr>
        <w:ind w:left="720" w:hanging="360"/>
      </w:pPr>
      <w:rPr>
        <w:rFonts w:hint="default" w:eastAsia="Times New Roman"/>
        <w:b/>
        <w:bCs/>
        <w:color w:val="231F2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7B8F79B5"/>
    <w:multiLevelType w:val="multilevel"/>
    <w:tmpl w:val="7B8F79B5"/>
    <w:lvl w:ilvl="0" w:tentative="0">
      <w:start w:val="1"/>
      <w:numFmt w:val="decimal"/>
      <w:lvlText w:val="%1."/>
      <w:lvlJc w:val="left"/>
      <w:pPr>
        <w:ind w:left="420" w:hanging="420"/>
      </w:pPr>
    </w:lvl>
    <w:lvl w:ilvl="1" w:tentative="0">
      <w:start w:val="1"/>
      <w:numFmt w:val="decimal"/>
      <w:lvlText w:val="%1.%2."/>
      <w:lvlJc w:val="left"/>
      <w:pPr>
        <w:ind w:left="1129" w:hanging="420"/>
      </w:pPr>
    </w:lvl>
    <w:lvl w:ilvl="2" w:tentative="0">
      <w:start w:val="1"/>
      <w:numFmt w:val="decimal"/>
      <w:lvlText w:val="%1.%2.%3."/>
      <w:lvlJc w:val="left"/>
      <w:pPr>
        <w:ind w:left="2138" w:hanging="720"/>
      </w:pPr>
    </w:lvl>
    <w:lvl w:ilvl="3" w:tentative="0">
      <w:start w:val="1"/>
      <w:numFmt w:val="decimal"/>
      <w:lvlText w:val="%1.%2.%3.%4."/>
      <w:lvlJc w:val="left"/>
      <w:pPr>
        <w:ind w:left="2847" w:hanging="720"/>
      </w:pPr>
    </w:lvl>
    <w:lvl w:ilvl="4" w:tentative="0">
      <w:start w:val="1"/>
      <w:numFmt w:val="decimal"/>
      <w:lvlText w:val="%1.%2.%3.%4.%5."/>
      <w:lvlJc w:val="left"/>
      <w:pPr>
        <w:ind w:left="3916" w:hanging="1080"/>
      </w:pPr>
    </w:lvl>
    <w:lvl w:ilvl="5" w:tentative="0">
      <w:start w:val="1"/>
      <w:numFmt w:val="decimal"/>
      <w:lvlText w:val="%1.%2.%3.%4.%5.%6."/>
      <w:lvlJc w:val="left"/>
      <w:pPr>
        <w:ind w:left="4625" w:hanging="1080"/>
      </w:pPr>
    </w:lvl>
    <w:lvl w:ilvl="6" w:tentative="0">
      <w:start w:val="1"/>
      <w:numFmt w:val="decimal"/>
      <w:lvlText w:val="%1.%2.%3.%4.%5.%6.%7."/>
      <w:lvlJc w:val="left"/>
      <w:pPr>
        <w:ind w:left="5694" w:hanging="1440"/>
      </w:pPr>
    </w:lvl>
    <w:lvl w:ilvl="7" w:tentative="0">
      <w:start w:val="1"/>
      <w:numFmt w:val="decimal"/>
      <w:lvlText w:val="%1.%2.%3.%4.%5.%6.%7.%8."/>
      <w:lvlJc w:val="left"/>
      <w:pPr>
        <w:ind w:left="6403" w:hanging="1440"/>
      </w:pPr>
    </w:lvl>
    <w:lvl w:ilvl="8" w:tentative="0">
      <w:start w:val="1"/>
      <w:numFmt w:val="decimal"/>
      <w:lvlText w:val="%1.%2.%3.%4.%5.%6.%7.%8.%9."/>
      <w:lvlJc w:val="left"/>
      <w:pPr>
        <w:ind w:left="7472" w:hanging="1800"/>
      </w:pPr>
    </w:lvl>
  </w:abstractNum>
  <w:abstractNum w:abstractNumId="7">
    <w:nsid w:val="7C1E537E"/>
    <w:multiLevelType w:val="multilevel"/>
    <w:tmpl w:val="7C1E537E"/>
    <w:lvl w:ilvl="0" w:tentative="0">
      <w:start w:val="8"/>
      <w:numFmt w:val="bullet"/>
      <w:lvlText w:val="-"/>
      <w:lvlJc w:val="left"/>
      <w:pPr>
        <w:ind w:left="720" w:hanging="360"/>
      </w:pPr>
      <w:rPr>
        <w:rFonts w:hint="default" w:ascii="Times New Roman" w:hAnsi="Times New Roman" w:eastAsia="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
  </w:num>
  <w:num w:numId="2">
    <w:abstractNumId w:val="0"/>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5"/>
  </w:num>
  <w:num w:numId="7">
    <w:abstractNumId w:val="3"/>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2E0"/>
    <w:rsid w:val="000004F2"/>
    <w:rsid w:val="00003867"/>
    <w:rsid w:val="00003D0F"/>
    <w:rsid w:val="00003E63"/>
    <w:rsid w:val="0000496C"/>
    <w:rsid w:val="00010C04"/>
    <w:rsid w:val="00012068"/>
    <w:rsid w:val="00014E34"/>
    <w:rsid w:val="000201C8"/>
    <w:rsid w:val="00027697"/>
    <w:rsid w:val="00030861"/>
    <w:rsid w:val="0003349A"/>
    <w:rsid w:val="000359F5"/>
    <w:rsid w:val="000442C2"/>
    <w:rsid w:val="000452E0"/>
    <w:rsid w:val="00047360"/>
    <w:rsid w:val="00053EEA"/>
    <w:rsid w:val="000556CA"/>
    <w:rsid w:val="00056D80"/>
    <w:rsid w:val="00057290"/>
    <w:rsid w:val="00062E8E"/>
    <w:rsid w:val="000668F6"/>
    <w:rsid w:val="00071336"/>
    <w:rsid w:val="00073298"/>
    <w:rsid w:val="00080A59"/>
    <w:rsid w:val="00084510"/>
    <w:rsid w:val="00085932"/>
    <w:rsid w:val="0008621C"/>
    <w:rsid w:val="000874B9"/>
    <w:rsid w:val="000909DD"/>
    <w:rsid w:val="000912B3"/>
    <w:rsid w:val="000912CF"/>
    <w:rsid w:val="00092BDA"/>
    <w:rsid w:val="000949B5"/>
    <w:rsid w:val="00094F1C"/>
    <w:rsid w:val="000A036C"/>
    <w:rsid w:val="000A0B7C"/>
    <w:rsid w:val="000A3E39"/>
    <w:rsid w:val="000A441A"/>
    <w:rsid w:val="000A7A73"/>
    <w:rsid w:val="000B1E40"/>
    <w:rsid w:val="000B49AC"/>
    <w:rsid w:val="000B572A"/>
    <w:rsid w:val="000B73FC"/>
    <w:rsid w:val="000C4230"/>
    <w:rsid w:val="000C5E4C"/>
    <w:rsid w:val="000D1CC3"/>
    <w:rsid w:val="000D2D2E"/>
    <w:rsid w:val="000D4475"/>
    <w:rsid w:val="000D657A"/>
    <w:rsid w:val="000D6764"/>
    <w:rsid w:val="000E04FE"/>
    <w:rsid w:val="000E11F8"/>
    <w:rsid w:val="000E3EC7"/>
    <w:rsid w:val="000E77DB"/>
    <w:rsid w:val="000F1103"/>
    <w:rsid w:val="000F1AD0"/>
    <w:rsid w:val="000F49CA"/>
    <w:rsid w:val="000F4F7B"/>
    <w:rsid w:val="000F5C78"/>
    <w:rsid w:val="000F5E4D"/>
    <w:rsid w:val="000F7A77"/>
    <w:rsid w:val="00100BDE"/>
    <w:rsid w:val="00101C07"/>
    <w:rsid w:val="00104717"/>
    <w:rsid w:val="00105F07"/>
    <w:rsid w:val="001152A6"/>
    <w:rsid w:val="0011779B"/>
    <w:rsid w:val="00124FCB"/>
    <w:rsid w:val="001256FC"/>
    <w:rsid w:val="00130E10"/>
    <w:rsid w:val="00131401"/>
    <w:rsid w:val="00135A0E"/>
    <w:rsid w:val="00135F1A"/>
    <w:rsid w:val="00136FA0"/>
    <w:rsid w:val="00141AAB"/>
    <w:rsid w:val="00142BF8"/>
    <w:rsid w:val="00142F7C"/>
    <w:rsid w:val="0015578C"/>
    <w:rsid w:val="00157728"/>
    <w:rsid w:val="001607FB"/>
    <w:rsid w:val="00162B6A"/>
    <w:rsid w:val="00163355"/>
    <w:rsid w:val="001638DD"/>
    <w:rsid w:val="00166D56"/>
    <w:rsid w:val="001732C6"/>
    <w:rsid w:val="00176C5E"/>
    <w:rsid w:val="001806FB"/>
    <w:rsid w:val="00183F10"/>
    <w:rsid w:val="00186577"/>
    <w:rsid w:val="00190006"/>
    <w:rsid w:val="00192654"/>
    <w:rsid w:val="001A3B3C"/>
    <w:rsid w:val="001A639E"/>
    <w:rsid w:val="001A7424"/>
    <w:rsid w:val="001B1831"/>
    <w:rsid w:val="001B1CDB"/>
    <w:rsid w:val="001B3B23"/>
    <w:rsid w:val="001B4078"/>
    <w:rsid w:val="001B722A"/>
    <w:rsid w:val="001C26FD"/>
    <w:rsid w:val="001C3E7A"/>
    <w:rsid w:val="001C7FC8"/>
    <w:rsid w:val="001D5437"/>
    <w:rsid w:val="001D60BA"/>
    <w:rsid w:val="001E0A90"/>
    <w:rsid w:val="001E51BC"/>
    <w:rsid w:val="001E554B"/>
    <w:rsid w:val="0020416B"/>
    <w:rsid w:val="00205444"/>
    <w:rsid w:val="00212C31"/>
    <w:rsid w:val="00224CAE"/>
    <w:rsid w:val="00226DEF"/>
    <w:rsid w:val="00226E2D"/>
    <w:rsid w:val="002273B9"/>
    <w:rsid w:val="0023104C"/>
    <w:rsid w:val="00232F3F"/>
    <w:rsid w:val="00234BEA"/>
    <w:rsid w:val="0023539F"/>
    <w:rsid w:val="0023626E"/>
    <w:rsid w:val="00240A49"/>
    <w:rsid w:val="002443A6"/>
    <w:rsid w:val="00245D17"/>
    <w:rsid w:val="00246EF9"/>
    <w:rsid w:val="002474A5"/>
    <w:rsid w:val="0025333F"/>
    <w:rsid w:val="002620B3"/>
    <w:rsid w:val="002622FB"/>
    <w:rsid w:val="002646D2"/>
    <w:rsid w:val="00264EC0"/>
    <w:rsid w:val="00267F36"/>
    <w:rsid w:val="0027070C"/>
    <w:rsid w:val="002750B1"/>
    <w:rsid w:val="002772AE"/>
    <w:rsid w:val="0028075D"/>
    <w:rsid w:val="00280C14"/>
    <w:rsid w:val="00281448"/>
    <w:rsid w:val="00282F2F"/>
    <w:rsid w:val="002911C4"/>
    <w:rsid w:val="00295715"/>
    <w:rsid w:val="00295CE5"/>
    <w:rsid w:val="002964C9"/>
    <w:rsid w:val="0029753C"/>
    <w:rsid w:val="002A4006"/>
    <w:rsid w:val="002A6F30"/>
    <w:rsid w:val="002A750E"/>
    <w:rsid w:val="002B0EE7"/>
    <w:rsid w:val="002B18FA"/>
    <w:rsid w:val="002B425D"/>
    <w:rsid w:val="002B5323"/>
    <w:rsid w:val="002B5F6B"/>
    <w:rsid w:val="002C4768"/>
    <w:rsid w:val="002C66DE"/>
    <w:rsid w:val="002E0B43"/>
    <w:rsid w:val="002E132D"/>
    <w:rsid w:val="002E3E1C"/>
    <w:rsid w:val="002F1F9C"/>
    <w:rsid w:val="002F4150"/>
    <w:rsid w:val="002F586F"/>
    <w:rsid w:val="003009F0"/>
    <w:rsid w:val="00303055"/>
    <w:rsid w:val="00305D1D"/>
    <w:rsid w:val="00305F65"/>
    <w:rsid w:val="00307261"/>
    <w:rsid w:val="0031263C"/>
    <w:rsid w:val="00314799"/>
    <w:rsid w:val="00322ECC"/>
    <w:rsid w:val="0032469B"/>
    <w:rsid w:val="0032656F"/>
    <w:rsid w:val="00326DD1"/>
    <w:rsid w:val="003300AE"/>
    <w:rsid w:val="0033094F"/>
    <w:rsid w:val="003324D8"/>
    <w:rsid w:val="003325AB"/>
    <w:rsid w:val="00333E7F"/>
    <w:rsid w:val="00334DA4"/>
    <w:rsid w:val="00343769"/>
    <w:rsid w:val="003444A4"/>
    <w:rsid w:val="003462EE"/>
    <w:rsid w:val="00347CC7"/>
    <w:rsid w:val="0035179A"/>
    <w:rsid w:val="0035776B"/>
    <w:rsid w:val="00357A42"/>
    <w:rsid w:val="00361D40"/>
    <w:rsid w:val="00364330"/>
    <w:rsid w:val="003652FC"/>
    <w:rsid w:val="0036668F"/>
    <w:rsid w:val="003669F0"/>
    <w:rsid w:val="0037028A"/>
    <w:rsid w:val="0037036C"/>
    <w:rsid w:val="003754A5"/>
    <w:rsid w:val="00377AF4"/>
    <w:rsid w:val="0038263E"/>
    <w:rsid w:val="003935A3"/>
    <w:rsid w:val="003952D2"/>
    <w:rsid w:val="00396401"/>
    <w:rsid w:val="003A1AE9"/>
    <w:rsid w:val="003A2737"/>
    <w:rsid w:val="003A459D"/>
    <w:rsid w:val="003A475F"/>
    <w:rsid w:val="003B54E8"/>
    <w:rsid w:val="003B58EF"/>
    <w:rsid w:val="003B620A"/>
    <w:rsid w:val="003C3F18"/>
    <w:rsid w:val="003C4060"/>
    <w:rsid w:val="003C42C9"/>
    <w:rsid w:val="003C4501"/>
    <w:rsid w:val="003C4636"/>
    <w:rsid w:val="003C579B"/>
    <w:rsid w:val="003D2BB4"/>
    <w:rsid w:val="003D77BB"/>
    <w:rsid w:val="003E091A"/>
    <w:rsid w:val="003F3D19"/>
    <w:rsid w:val="003F4439"/>
    <w:rsid w:val="00401964"/>
    <w:rsid w:val="00402361"/>
    <w:rsid w:val="004027F8"/>
    <w:rsid w:val="004058C2"/>
    <w:rsid w:val="00405DDC"/>
    <w:rsid w:val="004074F9"/>
    <w:rsid w:val="00411064"/>
    <w:rsid w:val="004160B5"/>
    <w:rsid w:val="00422915"/>
    <w:rsid w:val="004246FE"/>
    <w:rsid w:val="00426627"/>
    <w:rsid w:val="004279F1"/>
    <w:rsid w:val="00430118"/>
    <w:rsid w:val="0043161F"/>
    <w:rsid w:val="00434BFD"/>
    <w:rsid w:val="00441433"/>
    <w:rsid w:val="0044350F"/>
    <w:rsid w:val="00443C1B"/>
    <w:rsid w:val="00443C9C"/>
    <w:rsid w:val="0044402A"/>
    <w:rsid w:val="004504AC"/>
    <w:rsid w:val="004540A9"/>
    <w:rsid w:val="00460212"/>
    <w:rsid w:val="0046116F"/>
    <w:rsid w:val="0046355B"/>
    <w:rsid w:val="00465E31"/>
    <w:rsid w:val="00467A7D"/>
    <w:rsid w:val="00467AB8"/>
    <w:rsid w:val="004709D1"/>
    <w:rsid w:val="0047158F"/>
    <w:rsid w:val="00476A5C"/>
    <w:rsid w:val="00476C45"/>
    <w:rsid w:val="00476F2C"/>
    <w:rsid w:val="00481738"/>
    <w:rsid w:val="004824BE"/>
    <w:rsid w:val="00483BD3"/>
    <w:rsid w:val="0048559C"/>
    <w:rsid w:val="00487B33"/>
    <w:rsid w:val="00490489"/>
    <w:rsid w:val="00496019"/>
    <w:rsid w:val="00496C14"/>
    <w:rsid w:val="00496CEF"/>
    <w:rsid w:val="004A03B7"/>
    <w:rsid w:val="004A5A7C"/>
    <w:rsid w:val="004B20DB"/>
    <w:rsid w:val="004B3EA5"/>
    <w:rsid w:val="004B575B"/>
    <w:rsid w:val="004C539F"/>
    <w:rsid w:val="004C6E83"/>
    <w:rsid w:val="004D17F0"/>
    <w:rsid w:val="004E2220"/>
    <w:rsid w:val="004F33F2"/>
    <w:rsid w:val="004F47B5"/>
    <w:rsid w:val="004F6CED"/>
    <w:rsid w:val="004F6D28"/>
    <w:rsid w:val="0050613B"/>
    <w:rsid w:val="00506BFE"/>
    <w:rsid w:val="00510B51"/>
    <w:rsid w:val="00522303"/>
    <w:rsid w:val="0052311B"/>
    <w:rsid w:val="00525CA2"/>
    <w:rsid w:val="00526D3E"/>
    <w:rsid w:val="00527177"/>
    <w:rsid w:val="00527998"/>
    <w:rsid w:val="0053153A"/>
    <w:rsid w:val="00537CD9"/>
    <w:rsid w:val="00547EB8"/>
    <w:rsid w:val="005505BB"/>
    <w:rsid w:val="00551B87"/>
    <w:rsid w:val="00552FC7"/>
    <w:rsid w:val="0055391F"/>
    <w:rsid w:val="00553B2B"/>
    <w:rsid w:val="00553E83"/>
    <w:rsid w:val="00554EC8"/>
    <w:rsid w:val="00555657"/>
    <w:rsid w:val="00555CAC"/>
    <w:rsid w:val="00556F68"/>
    <w:rsid w:val="00562417"/>
    <w:rsid w:val="00574436"/>
    <w:rsid w:val="005748FB"/>
    <w:rsid w:val="00575DEC"/>
    <w:rsid w:val="005821F5"/>
    <w:rsid w:val="00583C71"/>
    <w:rsid w:val="00591C19"/>
    <w:rsid w:val="005A2DFA"/>
    <w:rsid w:val="005B11C3"/>
    <w:rsid w:val="005B129C"/>
    <w:rsid w:val="005B66D2"/>
    <w:rsid w:val="005B73D1"/>
    <w:rsid w:val="005C08A0"/>
    <w:rsid w:val="005C15C6"/>
    <w:rsid w:val="005C3F9B"/>
    <w:rsid w:val="005C4E9B"/>
    <w:rsid w:val="005C5D9E"/>
    <w:rsid w:val="005C65EC"/>
    <w:rsid w:val="005D7520"/>
    <w:rsid w:val="005E07CB"/>
    <w:rsid w:val="005F4F99"/>
    <w:rsid w:val="00602936"/>
    <w:rsid w:val="00603E27"/>
    <w:rsid w:val="00605FD9"/>
    <w:rsid w:val="006060CA"/>
    <w:rsid w:val="00606C4D"/>
    <w:rsid w:val="0060750B"/>
    <w:rsid w:val="00613DFD"/>
    <w:rsid w:val="00614241"/>
    <w:rsid w:val="00616628"/>
    <w:rsid w:val="006204AB"/>
    <w:rsid w:val="0062497F"/>
    <w:rsid w:val="0062580D"/>
    <w:rsid w:val="00625958"/>
    <w:rsid w:val="0062737B"/>
    <w:rsid w:val="00636709"/>
    <w:rsid w:val="0063696B"/>
    <w:rsid w:val="00640B7B"/>
    <w:rsid w:val="00642A4E"/>
    <w:rsid w:val="00645691"/>
    <w:rsid w:val="00647156"/>
    <w:rsid w:val="006517B5"/>
    <w:rsid w:val="00653A9F"/>
    <w:rsid w:val="00661C52"/>
    <w:rsid w:val="0066280D"/>
    <w:rsid w:val="0066568D"/>
    <w:rsid w:val="00666D32"/>
    <w:rsid w:val="00670B84"/>
    <w:rsid w:val="0067445E"/>
    <w:rsid w:val="006755FD"/>
    <w:rsid w:val="00676AF6"/>
    <w:rsid w:val="0068140F"/>
    <w:rsid w:val="00682088"/>
    <w:rsid w:val="006852DC"/>
    <w:rsid w:val="006873F8"/>
    <w:rsid w:val="00690A0B"/>
    <w:rsid w:val="006915CD"/>
    <w:rsid w:val="006969AC"/>
    <w:rsid w:val="006A3E3F"/>
    <w:rsid w:val="006B0E94"/>
    <w:rsid w:val="006B72FA"/>
    <w:rsid w:val="006C0232"/>
    <w:rsid w:val="006C1271"/>
    <w:rsid w:val="006C16D7"/>
    <w:rsid w:val="006C1DF8"/>
    <w:rsid w:val="006C2F81"/>
    <w:rsid w:val="006C3DA4"/>
    <w:rsid w:val="006C5214"/>
    <w:rsid w:val="006C6275"/>
    <w:rsid w:val="006D4E41"/>
    <w:rsid w:val="006D5078"/>
    <w:rsid w:val="006D572E"/>
    <w:rsid w:val="006E242F"/>
    <w:rsid w:val="006E2AA5"/>
    <w:rsid w:val="006E5D67"/>
    <w:rsid w:val="006E7FA7"/>
    <w:rsid w:val="006F5D77"/>
    <w:rsid w:val="00700BA4"/>
    <w:rsid w:val="007035DA"/>
    <w:rsid w:val="00712D04"/>
    <w:rsid w:val="007137E4"/>
    <w:rsid w:val="00715194"/>
    <w:rsid w:val="00722329"/>
    <w:rsid w:val="0073064C"/>
    <w:rsid w:val="007449DA"/>
    <w:rsid w:val="00751221"/>
    <w:rsid w:val="0075224B"/>
    <w:rsid w:val="00754706"/>
    <w:rsid w:val="00755B0C"/>
    <w:rsid w:val="00757267"/>
    <w:rsid w:val="007600DD"/>
    <w:rsid w:val="00760CA3"/>
    <w:rsid w:val="0076166F"/>
    <w:rsid w:val="00767144"/>
    <w:rsid w:val="007718CF"/>
    <w:rsid w:val="00771E17"/>
    <w:rsid w:val="007731FC"/>
    <w:rsid w:val="007743AB"/>
    <w:rsid w:val="00774469"/>
    <w:rsid w:val="0077446E"/>
    <w:rsid w:val="00775C16"/>
    <w:rsid w:val="007809BD"/>
    <w:rsid w:val="00780E7A"/>
    <w:rsid w:val="00782BEB"/>
    <w:rsid w:val="00785B10"/>
    <w:rsid w:val="00787ED7"/>
    <w:rsid w:val="0079079F"/>
    <w:rsid w:val="007913CD"/>
    <w:rsid w:val="0079698D"/>
    <w:rsid w:val="00796ACB"/>
    <w:rsid w:val="007978DD"/>
    <w:rsid w:val="007B3D8E"/>
    <w:rsid w:val="007B4DF2"/>
    <w:rsid w:val="007B7785"/>
    <w:rsid w:val="007B78C3"/>
    <w:rsid w:val="007B7F1D"/>
    <w:rsid w:val="007C2881"/>
    <w:rsid w:val="007C2B88"/>
    <w:rsid w:val="007D03F7"/>
    <w:rsid w:val="007D10BC"/>
    <w:rsid w:val="007D5921"/>
    <w:rsid w:val="007D63B1"/>
    <w:rsid w:val="007E5622"/>
    <w:rsid w:val="007F0AFF"/>
    <w:rsid w:val="007F3F24"/>
    <w:rsid w:val="007F64B2"/>
    <w:rsid w:val="008002BA"/>
    <w:rsid w:val="0080498E"/>
    <w:rsid w:val="00807C4F"/>
    <w:rsid w:val="00807E6F"/>
    <w:rsid w:val="00810251"/>
    <w:rsid w:val="00812EC9"/>
    <w:rsid w:val="008172F2"/>
    <w:rsid w:val="00822DFA"/>
    <w:rsid w:val="00826C30"/>
    <w:rsid w:val="00827743"/>
    <w:rsid w:val="0083263C"/>
    <w:rsid w:val="00833B43"/>
    <w:rsid w:val="00840F1A"/>
    <w:rsid w:val="00850142"/>
    <w:rsid w:val="0085427B"/>
    <w:rsid w:val="008556F0"/>
    <w:rsid w:val="00855BA4"/>
    <w:rsid w:val="00866180"/>
    <w:rsid w:val="008714D8"/>
    <w:rsid w:val="00872F39"/>
    <w:rsid w:val="0087601E"/>
    <w:rsid w:val="00876BC1"/>
    <w:rsid w:val="00887189"/>
    <w:rsid w:val="00887D23"/>
    <w:rsid w:val="008909D8"/>
    <w:rsid w:val="00891893"/>
    <w:rsid w:val="008918BF"/>
    <w:rsid w:val="0089252E"/>
    <w:rsid w:val="0089311D"/>
    <w:rsid w:val="008965F9"/>
    <w:rsid w:val="008970AF"/>
    <w:rsid w:val="008A0C3A"/>
    <w:rsid w:val="008A2D3F"/>
    <w:rsid w:val="008B4E6B"/>
    <w:rsid w:val="008B63F9"/>
    <w:rsid w:val="008B79DD"/>
    <w:rsid w:val="008C2291"/>
    <w:rsid w:val="008C285B"/>
    <w:rsid w:val="008C4BF8"/>
    <w:rsid w:val="008C62B2"/>
    <w:rsid w:val="008C7ACA"/>
    <w:rsid w:val="008E22C3"/>
    <w:rsid w:val="008F16A2"/>
    <w:rsid w:val="008F1A7E"/>
    <w:rsid w:val="008F3603"/>
    <w:rsid w:val="00902654"/>
    <w:rsid w:val="009047F5"/>
    <w:rsid w:val="00913F5C"/>
    <w:rsid w:val="0091422C"/>
    <w:rsid w:val="00914508"/>
    <w:rsid w:val="0092227C"/>
    <w:rsid w:val="00922B63"/>
    <w:rsid w:val="0092567C"/>
    <w:rsid w:val="009312FA"/>
    <w:rsid w:val="00931C94"/>
    <w:rsid w:val="00932610"/>
    <w:rsid w:val="00932F1F"/>
    <w:rsid w:val="00933589"/>
    <w:rsid w:val="00933AE9"/>
    <w:rsid w:val="00935904"/>
    <w:rsid w:val="0094153D"/>
    <w:rsid w:val="00945EAE"/>
    <w:rsid w:val="00946045"/>
    <w:rsid w:val="00946DB3"/>
    <w:rsid w:val="00966443"/>
    <w:rsid w:val="009737FA"/>
    <w:rsid w:val="009752B2"/>
    <w:rsid w:val="0097780F"/>
    <w:rsid w:val="00981E0F"/>
    <w:rsid w:val="00983940"/>
    <w:rsid w:val="00986363"/>
    <w:rsid w:val="00994789"/>
    <w:rsid w:val="00996F4C"/>
    <w:rsid w:val="009A08D4"/>
    <w:rsid w:val="009A198C"/>
    <w:rsid w:val="009A5FC6"/>
    <w:rsid w:val="009B0D8E"/>
    <w:rsid w:val="009B0DC5"/>
    <w:rsid w:val="009B0E4F"/>
    <w:rsid w:val="009B2E48"/>
    <w:rsid w:val="009B4ED1"/>
    <w:rsid w:val="009C1440"/>
    <w:rsid w:val="009C21D2"/>
    <w:rsid w:val="009C45A0"/>
    <w:rsid w:val="009C6AC5"/>
    <w:rsid w:val="009D2F6C"/>
    <w:rsid w:val="009D4A8D"/>
    <w:rsid w:val="009D585A"/>
    <w:rsid w:val="009D58C6"/>
    <w:rsid w:val="009D592E"/>
    <w:rsid w:val="009E00CC"/>
    <w:rsid w:val="009E0DDB"/>
    <w:rsid w:val="009E455F"/>
    <w:rsid w:val="009F19BD"/>
    <w:rsid w:val="00A00BD2"/>
    <w:rsid w:val="00A030EB"/>
    <w:rsid w:val="00A06A1F"/>
    <w:rsid w:val="00A10613"/>
    <w:rsid w:val="00A165B2"/>
    <w:rsid w:val="00A17020"/>
    <w:rsid w:val="00A21404"/>
    <w:rsid w:val="00A21A34"/>
    <w:rsid w:val="00A22DF4"/>
    <w:rsid w:val="00A37444"/>
    <w:rsid w:val="00A37E09"/>
    <w:rsid w:val="00A409B9"/>
    <w:rsid w:val="00A423FE"/>
    <w:rsid w:val="00A435D4"/>
    <w:rsid w:val="00A44CBF"/>
    <w:rsid w:val="00A44E04"/>
    <w:rsid w:val="00A45525"/>
    <w:rsid w:val="00A45E5F"/>
    <w:rsid w:val="00A46636"/>
    <w:rsid w:val="00A522BC"/>
    <w:rsid w:val="00A524C3"/>
    <w:rsid w:val="00A53F19"/>
    <w:rsid w:val="00A60BFD"/>
    <w:rsid w:val="00A65643"/>
    <w:rsid w:val="00A6581D"/>
    <w:rsid w:val="00A729DF"/>
    <w:rsid w:val="00A72F70"/>
    <w:rsid w:val="00A768DD"/>
    <w:rsid w:val="00A80575"/>
    <w:rsid w:val="00A815F3"/>
    <w:rsid w:val="00A864C5"/>
    <w:rsid w:val="00A8684E"/>
    <w:rsid w:val="00A86F1B"/>
    <w:rsid w:val="00A90247"/>
    <w:rsid w:val="00A927EA"/>
    <w:rsid w:val="00A932B8"/>
    <w:rsid w:val="00AA0FDE"/>
    <w:rsid w:val="00AA339D"/>
    <w:rsid w:val="00AA394B"/>
    <w:rsid w:val="00AA5AC3"/>
    <w:rsid w:val="00AB2BCB"/>
    <w:rsid w:val="00AB4E56"/>
    <w:rsid w:val="00AB5220"/>
    <w:rsid w:val="00AB6E5C"/>
    <w:rsid w:val="00AB7246"/>
    <w:rsid w:val="00AC0BF7"/>
    <w:rsid w:val="00AC1195"/>
    <w:rsid w:val="00AC5E50"/>
    <w:rsid w:val="00AC5E74"/>
    <w:rsid w:val="00AC6510"/>
    <w:rsid w:val="00AC7A4C"/>
    <w:rsid w:val="00AD0CD5"/>
    <w:rsid w:val="00AD27B9"/>
    <w:rsid w:val="00AD3882"/>
    <w:rsid w:val="00AD4181"/>
    <w:rsid w:val="00AD4855"/>
    <w:rsid w:val="00AD5507"/>
    <w:rsid w:val="00AD5F44"/>
    <w:rsid w:val="00AD696A"/>
    <w:rsid w:val="00AE510A"/>
    <w:rsid w:val="00AE6AF8"/>
    <w:rsid w:val="00AF0070"/>
    <w:rsid w:val="00AF630E"/>
    <w:rsid w:val="00B0095F"/>
    <w:rsid w:val="00B03703"/>
    <w:rsid w:val="00B055C8"/>
    <w:rsid w:val="00B06686"/>
    <w:rsid w:val="00B169C7"/>
    <w:rsid w:val="00B177B8"/>
    <w:rsid w:val="00B27696"/>
    <w:rsid w:val="00B32EBD"/>
    <w:rsid w:val="00B342F8"/>
    <w:rsid w:val="00B43455"/>
    <w:rsid w:val="00B51F14"/>
    <w:rsid w:val="00B545B4"/>
    <w:rsid w:val="00B54C32"/>
    <w:rsid w:val="00B56380"/>
    <w:rsid w:val="00B56AF3"/>
    <w:rsid w:val="00B57B5F"/>
    <w:rsid w:val="00B6454A"/>
    <w:rsid w:val="00B665C1"/>
    <w:rsid w:val="00B7119B"/>
    <w:rsid w:val="00B72C7B"/>
    <w:rsid w:val="00B73577"/>
    <w:rsid w:val="00B7661E"/>
    <w:rsid w:val="00B86B11"/>
    <w:rsid w:val="00B91AA2"/>
    <w:rsid w:val="00B940CB"/>
    <w:rsid w:val="00B978A8"/>
    <w:rsid w:val="00BA1EC4"/>
    <w:rsid w:val="00BA66B8"/>
    <w:rsid w:val="00BB24A5"/>
    <w:rsid w:val="00BB43C2"/>
    <w:rsid w:val="00BC429F"/>
    <w:rsid w:val="00BC524E"/>
    <w:rsid w:val="00BC627F"/>
    <w:rsid w:val="00BC732C"/>
    <w:rsid w:val="00BD3DE8"/>
    <w:rsid w:val="00BD4B92"/>
    <w:rsid w:val="00BD6F8A"/>
    <w:rsid w:val="00BE2F61"/>
    <w:rsid w:val="00BE3DB8"/>
    <w:rsid w:val="00BE3E07"/>
    <w:rsid w:val="00BE56C9"/>
    <w:rsid w:val="00BF08DF"/>
    <w:rsid w:val="00BF22AD"/>
    <w:rsid w:val="00BF233B"/>
    <w:rsid w:val="00BF6B20"/>
    <w:rsid w:val="00BF6B5A"/>
    <w:rsid w:val="00C01E35"/>
    <w:rsid w:val="00C04C4F"/>
    <w:rsid w:val="00C134A7"/>
    <w:rsid w:val="00C17DD4"/>
    <w:rsid w:val="00C2237B"/>
    <w:rsid w:val="00C25389"/>
    <w:rsid w:val="00C26754"/>
    <w:rsid w:val="00C35E94"/>
    <w:rsid w:val="00C36301"/>
    <w:rsid w:val="00C42B96"/>
    <w:rsid w:val="00C44F24"/>
    <w:rsid w:val="00C46E26"/>
    <w:rsid w:val="00C479CE"/>
    <w:rsid w:val="00C654A9"/>
    <w:rsid w:val="00C66B15"/>
    <w:rsid w:val="00C70306"/>
    <w:rsid w:val="00C73B62"/>
    <w:rsid w:val="00C7490C"/>
    <w:rsid w:val="00C756C4"/>
    <w:rsid w:val="00C8000D"/>
    <w:rsid w:val="00C80CAC"/>
    <w:rsid w:val="00C83D28"/>
    <w:rsid w:val="00C8429B"/>
    <w:rsid w:val="00C9098C"/>
    <w:rsid w:val="00C90C9D"/>
    <w:rsid w:val="00C9146F"/>
    <w:rsid w:val="00C9306D"/>
    <w:rsid w:val="00C94827"/>
    <w:rsid w:val="00C969F6"/>
    <w:rsid w:val="00C9789F"/>
    <w:rsid w:val="00CA0CE0"/>
    <w:rsid w:val="00CA4380"/>
    <w:rsid w:val="00CA7126"/>
    <w:rsid w:val="00CB0C82"/>
    <w:rsid w:val="00CB3110"/>
    <w:rsid w:val="00CB442D"/>
    <w:rsid w:val="00CB6134"/>
    <w:rsid w:val="00CC0D92"/>
    <w:rsid w:val="00CC604F"/>
    <w:rsid w:val="00CC6B9B"/>
    <w:rsid w:val="00CD0F70"/>
    <w:rsid w:val="00CD1516"/>
    <w:rsid w:val="00CD56A3"/>
    <w:rsid w:val="00CE09C8"/>
    <w:rsid w:val="00CE2CBB"/>
    <w:rsid w:val="00CE3CB5"/>
    <w:rsid w:val="00CE6116"/>
    <w:rsid w:val="00CE765D"/>
    <w:rsid w:val="00CE7A45"/>
    <w:rsid w:val="00CF0C00"/>
    <w:rsid w:val="00CF0E36"/>
    <w:rsid w:val="00D01A12"/>
    <w:rsid w:val="00D027E0"/>
    <w:rsid w:val="00D039E6"/>
    <w:rsid w:val="00D06069"/>
    <w:rsid w:val="00D1254E"/>
    <w:rsid w:val="00D1281D"/>
    <w:rsid w:val="00D13A74"/>
    <w:rsid w:val="00D14F13"/>
    <w:rsid w:val="00D2239D"/>
    <w:rsid w:val="00D240C3"/>
    <w:rsid w:val="00D3144F"/>
    <w:rsid w:val="00D33E69"/>
    <w:rsid w:val="00D34F7B"/>
    <w:rsid w:val="00D35FA2"/>
    <w:rsid w:val="00D369C2"/>
    <w:rsid w:val="00D405D5"/>
    <w:rsid w:val="00D41FDA"/>
    <w:rsid w:val="00D421EA"/>
    <w:rsid w:val="00D45A0D"/>
    <w:rsid w:val="00D45D51"/>
    <w:rsid w:val="00D46CB7"/>
    <w:rsid w:val="00D46E46"/>
    <w:rsid w:val="00D50B98"/>
    <w:rsid w:val="00D50D66"/>
    <w:rsid w:val="00D5139F"/>
    <w:rsid w:val="00D51405"/>
    <w:rsid w:val="00D53B83"/>
    <w:rsid w:val="00D54731"/>
    <w:rsid w:val="00D60DC0"/>
    <w:rsid w:val="00D61005"/>
    <w:rsid w:val="00D61C72"/>
    <w:rsid w:val="00D658C2"/>
    <w:rsid w:val="00D66E44"/>
    <w:rsid w:val="00D67A38"/>
    <w:rsid w:val="00D7013D"/>
    <w:rsid w:val="00D708D5"/>
    <w:rsid w:val="00D71364"/>
    <w:rsid w:val="00D734E1"/>
    <w:rsid w:val="00D8037B"/>
    <w:rsid w:val="00D813B9"/>
    <w:rsid w:val="00D81613"/>
    <w:rsid w:val="00D82A44"/>
    <w:rsid w:val="00D86235"/>
    <w:rsid w:val="00D93A5F"/>
    <w:rsid w:val="00D93D0F"/>
    <w:rsid w:val="00D96A4C"/>
    <w:rsid w:val="00DA2A5D"/>
    <w:rsid w:val="00DA4502"/>
    <w:rsid w:val="00DA5967"/>
    <w:rsid w:val="00DA5E6D"/>
    <w:rsid w:val="00DA62CE"/>
    <w:rsid w:val="00DA6CC6"/>
    <w:rsid w:val="00DC21F4"/>
    <w:rsid w:val="00DC22C9"/>
    <w:rsid w:val="00DC410B"/>
    <w:rsid w:val="00DC7115"/>
    <w:rsid w:val="00DC778B"/>
    <w:rsid w:val="00DD5BD3"/>
    <w:rsid w:val="00DD61A4"/>
    <w:rsid w:val="00DD6908"/>
    <w:rsid w:val="00DE1225"/>
    <w:rsid w:val="00DE2920"/>
    <w:rsid w:val="00DF60C3"/>
    <w:rsid w:val="00E07D85"/>
    <w:rsid w:val="00E10C22"/>
    <w:rsid w:val="00E12AAB"/>
    <w:rsid w:val="00E1380E"/>
    <w:rsid w:val="00E1697F"/>
    <w:rsid w:val="00E20C21"/>
    <w:rsid w:val="00E21430"/>
    <w:rsid w:val="00E238B3"/>
    <w:rsid w:val="00E25A9F"/>
    <w:rsid w:val="00E264A6"/>
    <w:rsid w:val="00E26E56"/>
    <w:rsid w:val="00E26F40"/>
    <w:rsid w:val="00E27DB1"/>
    <w:rsid w:val="00E318E5"/>
    <w:rsid w:val="00E33113"/>
    <w:rsid w:val="00E34DA8"/>
    <w:rsid w:val="00E36D8F"/>
    <w:rsid w:val="00E37481"/>
    <w:rsid w:val="00E44BFB"/>
    <w:rsid w:val="00E526ED"/>
    <w:rsid w:val="00E53F62"/>
    <w:rsid w:val="00E62600"/>
    <w:rsid w:val="00E665CE"/>
    <w:rsid w:val="00E702EF"/>
    <w:rsid w:val="00E71301"/>
    <w:rsid w:val="00E73898"/>
    <w:rsid w:val="00E73BDA"/>
    <w:rsid w:val="00E8465B"/>
    <w:rsid w:val="00E84F97"/>
    <w:rsid w:val="00E96AC5"/>
    <w:rsid w:val="00EA1ED6"/>
    <w:rsid w:val="00EA3640"/>
    <w:rsid w:val="00EA59B1"/>
    <w:rsid w:val="00EA5C0C"/>
    <w:rsid w:val="00EA6C20"/>
    <w:rsid w:val="00EB1A12"/>
    <w:rsid w:val="00EB2E3D"/>
    <w:rsid w:val="00EC2EEC"/>
    <w:rsid w:val="00EC3F8B"/>
    <w:rsid w:val="00EC60A5"/>
    <w:rsid w:val="00EC66D3"/>
    <w:rsid w:val="00ED0699"/>
    <w:rsid w:val="00ED18F7"/>
    <w:rsid w:val="00ED4727"/>
    <w:rsid w:val="00ED4F39"/>
    <w:rsid w:val="00ED55A2"/>
    <w:rsid w:val="00ED744D"/>
    <w:rsid w:val="00EE272E"/>
    <w:rsid w:val="00EE5B21"/>
    <w:rsid w:val="00EE6FCA"/>
    <w:rsid w:val="00EE737B"/>
    <w:rsid w:val="00EE7B7F"/>
    <w:rsid w:val="00EF14F8"/>
    <w:rsid w:val="00F003C3"/>
    <w:rsid w:val="00F02605"/>
    <w:rsid w:val="00F0784F"/>
    <w:rsid w:val="00F0795D"/>
    <w:rsid w:val="00F1055A"/>
    <w:rsid w:val="00F13393"/>
    <w:rsid w:val="00F15209"/>
    <w:rsid w:val="00F16876"/>
    <w:rsid w:val="00F200A0"/>
    <w:rsid w:val="00F22852"/>
    <w:rsid w:val="00F279D0"/>
    <w:rsid w:val="00F30170"/>
    <w:rsid w:val="00F336FF"/>
    <w:rsid w:val="00F349B4"/>
    <w:rsid w:val="00F35BD0"/>
    <w:rsid w:val="00F402FE"/>
    <w:rsid w:val="00F4361D"/>
    <w:rsid w:val="00F44912"/>
    <w:rsid w:val="00F51B59"/>
    <w:rsid w:val="00F60DDB"/>
    <w:rsid w:val="00F63379"/>
    <w:rsid w:val="00F63554"/>
    <w:rsid w:val="00F6773E"/>
    <w:rsid w:val="00F71C47"/>
    <w:rsid w:val="00F735CE"/>
    <w:rsid w:val="00F80F05"/>
    <w:rsid w:val="00F817B4"/>
    <w:rsid w:val="00F82936"/>
    <w:rsid w:val="00F82ABA"/>
    <w:rsid w:val="00F86F1C"/>
    <w:rsid w:val="00F91CF1"/>
    <w:rsid w:val="00F9268D"/>
    <w:rsid w:val="00F943C1"/>
    <w:rsid w:val="00F947AF"/>
    <w:rsid w:val="00F969AF"/>
    <w:rsid w:val="00FA64BC"/>
    <w:rsid w:val="00FB0B58"/>
    <w:rsid w:val="00FB137A"/>
    <w:rsid w:val="00FC07E8"/>
    <w:rsid w:val="00FC0B5F"/>
    <w:rsid w:val="00FC24AC"/>
    <w:rsid w:val="00FC3575"/>
    <w:rsid w:val="00FC35D9"/>
    <w:rsid w:val="00FC5C30"/>
    <w:rsid w:val="00FD2401"/>
    <w:rsid w:val="00FD36B7"/>
    <w:rsid w:val="00FD46E6"/>
    <w:rsid w:val="00FD5F09"/>
    <w:rsid w:val="00FE73BA"/>
    <w:rsid w:val="00FE77FF"/>
    <w:rsid w:val="00FF0208"/>
    <w:rsid w:val="00FF251A"/>
    <w:rsid w:val="00FF335B"/>
    <w:rsid w:val="00FF5B9A"/>
    <w:rsid w:val="0E2A49F6"/>
    <w:rsid w:val="11B90BA4"/>
    <w:rsid w:val="18176DEB"/>
    <w:rsid w:val="19763FD2"/>
    <w:rsid w:val="1CB563BF"/>
    <w:rsid w:val="1CCD6DD5"/>
    <w:rsid w:val="1DD7234A"/>
    <w:rsid w:val="230674E2"/>
    <w:rsid w:val="254969BC"/>
    <w:rsid w:val="254A747A"/>
    <w:rsid w:val="25DE356A"/>
    <w:rsid w:val="2ABB1E05"/>
    <w:rsid w:val="2CC976CA"/>
    <w:rsid w:val="2D080FB7"/>
    <w:rsid w:val="2DD359EE"/>
    <w:rsid w:val="2F55084A"/>
    <w:rsid w:val="35637DFF"/>
    <w:rsid w:val="3B7337B0"/>
    <w:rsid w:val="3F5B0F8E"/>
    <w:rsid w:val="43F25407"/>
    <w:rsid w:val="453A628D"/>
    <w:rsid w:val="48897362"/>
    <w:rsid w:val="4AA767C6"/>
    <w:rsid w:val="556A7395"/>
    <w:rsid w:val="5FF44662"/>
    <w:rsid w:val="67836379"/>
    <w:rsid w:val="6DC06DF5"/>
    <w:rsid w:val="770E41B3"/>
    <w:rsid w:val="7CC8596D"/>
    <w:rsid w:val="7DD77036"/>
    <w:rsid w:val="7E2F263A"/>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Times New Roman"/>
      <w:sz w:val="22"/>
      <w:szCs w:val="22"/>
      <w:lang w:val="hr-HR" w:eastAsia="en-US" w:bidi="ar-SA"/>
    </w:rPr>
  </w:style>
  <w:style w:type="paragraph" w:styleId="2">
    <w:name w:val="heading 1"/>
    <w:basedOn w:val="1"/>
    <w:next w:val="1"/>
    <w:link w:val="22"/>
    <w:qFormat/>
    <w:uiPriority w:val="0"/>
    <w:pPr>
      <w:keepNext/>
      <w:keepLines/>
      <w:spacing w:before="480" w:after="0"/>
      <w:outlineLvl w:val="0"/>
    </w:pPr>
    <w:rPr>
      <w:rFonts w:ascii="Cambria" w:hAnsi="Cambria"/>
      <w:b/>
      <w:bCs/>
      <w:color w:val="365F91"/>
      <w:sz w:val="28"/>
      <w:szCs w:val="28"/>
      <w:lang w:val="zh-CN"/>
    </w:rPr>
  </w:style>
  <w:style w:type="paragraph" w:styleId="3">
    <w:name w:val="heading 2"/>
    <w:next w:val="1"/>
    <w:link w:val="23"/>
    <w:semiHidden/>
    <w:unhideWhenUsed/>
    <w:qFormat/>
    <w:uiPriority w:val="9"/>
    <w:pPr>
      <w:keepNext/>
      <w:suppressAutoHyphens/>
      <w:spacing w:before="240" w:after="60" w:line="276" w:lineRule="auto"/>
      <w:outlineLvl w:val="1"/>
    </w:pPr>
    <w:rPr>
      <w:rFonts w:ascii="Cambria" w:hAnsi="Cambria" w:eastAsia="Times New Roman" w:cs="Times New Roman"/>
      <w:b/>
      <w:bCs/>
      <w:i/>
      <w:iCs/>
      <w:sz w:val="28"/>
      <w:szCs w:val="28"/>
      <w:lang w:val="hr-HR" w:eastAsia="ar-SA" w:bidi="ar-SA"/>
    </w:rPr>
  </w:style>
  <w:style w:type="paragraph" w:styleId="4">
    <w:name w:val="heading 3"/>
    <w:basedOn w:val="1"/>
    <w:next w:val="5"/>
    <w:link w:val="24"/>
    <w:qFormat/>
    <w:uiPriority w:val="0"/>
    <w:pPr>
      <w:spacing w:before="9" w:after="120" w:line="240" w:lineRule="auto"/>
      <w:outlineLvl w:val="2"/>
    </w:pPr>
    <w:rPr>
      <w:rFonts w:ascii="Arial" w:hAnsi="Arial"/>
      <w:b/>
      <w:bCs/>
      <w:sz w:val="29"/>
      <w:szCs w:val="29"/>
      <w:lang w:val="zh-CN"/>
    </w:rPr>
  </w:style>
  <w:style w:type="paragraph" w:styleId="6">
    <w:name w:val="heading 4"/>
    <w:basedOn w:val="1"/>
    <w:next w:val="1"/>
    <w:link w:val="25"/>
    <w:semiHidden/>
    <w:unhideWhenUsed/>
    <w:qFormat/>
    <w:uiPriority w:val="9"/>
    <w:pPr>
      <w:keepNext/>
      <w:spacing w:before="240" w:after="60"/>
      <w:outlineLvl w:val="3"/>
    </w:pPr>
    <w:rPr>
      <w:rFonts w:eastAsia="Times New Roman"/>
      <w:b/>
      <w:bCs/>
      <w:sz w:val="28"/>
      <w:szCs w:val="28"/>
      <w:lang w:val="zh-CN"/>
    </w:rPr>
  </w:style>
  <w:style w:type="paragraph" w:styleId="7">
    <w:name w:val="heading 5"/>
    <w:basedOn w:val="1"/>
    <w:next w:val="1"/>
    <w:link w:val="32"/>
    <w:semiHidden/>
    <w:unhideWhenUsed/>
    <w:qFormat/>
    <w:uiPriority w:val="9"/>
    <w:pPr>
      <w:spacing w:before="240" w:after="60"/>
      <w:outlineLvl w:val="4"/>
    </w:pPr>
    <w:rPr>
      <w:rFonts w:eastAsia="Times New Roman"/>
      <w:b/>
      <w:bCs/>
      <w:i/>
      <w:iCs/>
      <w:sz w:val="26"/>
      <w:szCs w:val="26"/>
      <w:lang w:val="zh-CN"/>
    </w:rPr>
  </w:style>
  <w:style w:type="paragraph" w:styleId="8">
    <w:name w:val="heading 6"/>
    <w:basedOn w:val="1"/>
    <w:next w:val="1"/>
    <w:link w:val="33"/>
    <w:semiHidden/>
    <w:unhideWhenUsed/>
    <w:qFormat/>
    <w:uiPriority w:val="9"/>
    <w:pPr>
      <w:spacing w:before="240" w:after="60"/>
      <w:outlineLvl w:val="5"/>
    </w:pPr>
    <w:rPr>
      <w:rFonts w:eastAsia="Times New Roman"/>
      <w:b/>
      <w:bCs/>
      <w:lang w:val="zh-CN"/>
    </w:rPr>
  </w:style>
  <w:style w:type="paragraph" w:styleId="9">
    <w:name w:val="heading 7"/>
    <w:basedOn w:val="1"/>
    <w:next w:val="1"/>
    <w:link w:val="34"/>
    <w:semiHidden/>
    <w:unhideWhenUsed/>
    <w:qFormat/>
    <w:uiPriority w:val="9"/>
    <w:pPr>
      <w:spacing w:before="240" w:after="60"/>
      <w:outlineLvl w:val="6"/>
    </w:pPr>
    <w:rPr>
      <w:rFonts w:eastAsia="Times New Roman"/>
      <w:sz w:val="24"/>
      <w:szCs w:val="24"/>
      <w:lang w:val="zh-CN"/>
    </w:rPr>
  </w:style>
  <w:style w:type="paragraph" w:styleId="10">
    <w:name w:val="heading 8"/>
    <w:basedOn w:val="1"/>
    <w:next w:val="1"/>
    <w:link w:val="35"/>
    <w:semiHidden/>
    <w:unhideWhenUsed/>
    <w:qFormat/>
    <w:uiPriority w:val="9"/>
    <w:pPr>
      <w:spacing w:before="240" w:after="60"/>
      <w:outlineLvl w:val="7"/>
    </w:pPr>
    <w:rPr>
      <w:rFonts w:eastAsia="Times New Roman"/>
      <w:i/>
      <w:iCs/>
      <w:sz w:val="24"/>
      <w:szCs w:val="24"/>
      <w:lang w:val="zh-CN"/>
    </w:rPr>
  </w:style>
  <w:style w:type="paragraph" w:styleId="11">
    <w:name w:val="heading 9"/>
    <w:basedOn w:val="1"/>
    <w:next w:val="1"/>
    <w:link w:val="36"/>
    <w:semiHidden/>
    <w:unhideWhenUsed/>
    <w:qFormat/>
    <w:uiPriority w:val="9"/>
    <w:pPr>
      <w:spacing w:before="240" w:after="60"/>
      <w:outlineLvl w:val="8"/>
    </w:pPr>
    <w:rPr>
      <w:rFonts w:ascii="Cambria" w:hAnsi="Cambria" w:eastAsia="Times New Roman"/>
      <w:lang w:val="zh-CN"/>
    </w:rPr>
  </w:style>
  <w:style w:type="character" w:default="1" w:styleId="12">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37"/>
    <w:semiHidden/>
    <w:unhideWhenUsed/>
    <w:qFormat/>
    <w:uiPriority w:val="99"/>
    <w:pPr>
      <w:spacing w:after="120"/>
    </w:pPr>
  </w:style>
  <w:style w:type="paragraph" w:styleId="14">
    <w:name w:val="Balloon Text"/>
    <w:basedOn w:val="1"/>
    <w:link w:val="41"/>
    <w:semiHidden/>
    <w:unhideWhenUsed/>
    <w:qFormat/>
    <w:uiPriority w:val="99"/>
    <w:pPr>
      <w:spacing w:after="0" w:line="240" w:lineRule="auto"/>
    </w:pPr>
    <w:rPr>
      <w:rFonts w:ascii="Segoe UI" w:hAnsi="Segoe UI" w:cs="Segoe UI"/>
      <w:sz w:val="18"/>
      <w:szCs w:val="18"/>
    </w:rPr>
  </w:style>
  <w:style w:type="paragraph" w:styleId="15">
    <w:name w:val="Body Text 3"/>
    <w:basedOn w:val="1"/>
    <w:link w:val="40"/>
    <w:qFormat/>
    <w:uiPriority w:val="0"/>
    <w:pPr>
      <w:spacing w:after="120" w:line="240" w:lineRule="auto"/>
    </w:pPr>
    <w:rPr>
      <w:rFonts w:ascii="Times New Roman" w:hAnsi="Times New Roman" w:eastAsia="Times New Roman"/>
      <w:sz w:val="16"/>
      <w:szCs w:val="16"/>
      <w:lang w:eastAsia="hr-HR"/>
    </w:rPr>
  </w:style>
  <w:style w:type="character" w:styleId="16">
    <w:name w:val="Emphasis"/>
    <w:qFormat/>
    <w:uiPriority w:val="20"/>
    <w:rPr>
      <w:i/>
      <w:iCs/>
    </w:rPr>
  </w:style>
  <w:style w:type="paragraph" w:styleId="17">
    <w:name w:val="footer"/>
    <w:basedOn w:val="1"/>
    <w:link w:val="47"/>
    <w:unhideWhenUsed/>
    <w:qFormat/>
    <w:uiPriority w:val="99"/>
    <w:pPr>
      <w:tabs>
        <w:tab w:val="center" w:pos="4536"/>
        <w:tab w:val="right" w:pos="9072"/>
      </w:tabs>
      <w:spacing w:after="0" w:line="240" w:lineRule="auto"/>
    </w:pPr>
  </w:style>
  <w:style w:type="paragraph" w:styleId="18">
    <w:name w:val="header"/>
    <w:basedOn w:val="1"/>
    <w:link w:val="46"/>
    <w:unhideWhenUsed/>
    <w:qFormat/>
    <w:uiPriority w:val="99"/>
    <w:pPr>
      <w:tabs>
        <w:tab w:val="center" w:pos="4536"/>
        <w:tab w:val="right" w:pos="9072"/>
      </w:tabs>
      <w:spacing w:after="0" w:line="240" w:lineRule="auto"/>
    </w:pPr>
  </w:style>
  <w:style w:type="character" w:styleId="19">
    <w:name w:val="Hyperlink"/>
    <w:unhideWhenUsed/>
    <w:qFormat/>
    <w:uiPriority w:val="99"/>
    <w:rPr>
      <w:color w:val="0000FF"/>
      <w:u w:val="single"/>
    </w:rPr>
  </w:style>
  <w:style w:type="character" w:styleId="20">
    <w:name w:val="Strong"/>
    <w:qFormat/>
    <w:uiPriority w:val="22"/>
    <w:rPr>
      <w:b/>
      <w:bCs/>
    </w:rPr>
  </w:style>
  <w:style w:type="paragraph" w:styleId="21">
    <w:name w:val="Title"/>
    <w:basedOn w:val="1"/>
    <w:link w:val="31"/>
    <w:qFormat/>
    <w:uiPriority w:val="10"/>
    <w:pPr>
      <w:spacing w:before="240" w:after="60"/>
      <w:jc w:val="center"/>
      <w:outlineLvl w:val="0"/>
    </w:pPr>
    <w:rPr>
      <w:rFonts w:ascii="Cambria" w:hAnsi="Cambria" w:eastAsia="Times New Roman"/>
      <w:b/>
      <w:bCs/>
      <w:kern w:val="28"/>
      <w:sz w:val="32"/>
      <w:szCs w:val="32"/>
    </w:rPr>
  </w:style>
  <w:style w:type="character" w:customStyle="1" w:styleId="22">
    <w:name w:val="Naslov 1 Char"/>
    <w:link w:val="2"/>
    <w:qFormat/>
    <w:uiPriority w:val="0"/>
    <w:rPr>
      <w:rFonts w:ascii="Cambria" w:hAnsi="Cambria"/>
      <w:b/>
      <w:bCs/>
      <w:color w:val="365F91"/>
      <w:sz w:val="28"/>
      <w:szCs w:val="28"/>
      <w:lang w:eastAsia="ar-SA"/>
    </w:rPr>
  </w:style>
  <w:style w:type="character" w:customStyle="1" w:styleId="23">
    <w:name w:val="Naslov 2 Char"/>
    <w:link w:val="3"/>
    <w:semiHidden/>
    <w:qFormat/>
    <w:uiPriority w:val="9"/>
    <w:rPr>
      <w:rFonts w:ascii="Cambria" w:hAnsi="Cambria" w:eastAsia="Times New Roman"/>
      <w:b/>
      <w:bCs/>
      <w:i/>
      <w:iCs/>
      <w:sz w:val="28"/>
      <w:szCs w:val="28"/>
      <w:lang w:eastAsia="ar-SA" w:bidi="ar-SA"/>
    </w:rPr>
  </w:style>
  <w:style w:type="character" w:customStyle="1" w:styleId="24">
    <w:name w:val="Naslov 3 Char"/>
    <w:link w:val="4"/>
    <w:qFormat/>
    <w:uiPriority w:val="0"/>
    <w:rPr>
      <w:rFonts w:ascii="Arial" w:hAnsi="Arial" w:eastAsia="Calibri" w:cs="Arial"/>
      <w:b/>
      <w:bCs/>
      <w:sz w:val="29"/>
      <w:szCs w:val="29"/>
      <w:lang w:eastAsia="ar-SA"/>
    </w:rPr>
  </w:style>
  <w:style w:type="character" w:customStyle="1" w:styleId="25">
    <w:name w:val="Naslov 4 Char"/>
    <w:link w:val="6"/>
    <w:semiHidden/>
    <w:qFormat/>
    <w:uiPriority w:val="9"/>
    <w:rPr>
      <w:rFonts w:ascii="Calibri" w:hAnsi="Calibri" w:eastAsia="Times New Roman" w:cs="Times New Roman"/>
      <w:b/>
      <w:bCs/>
      <w:sz w:val="28"/>
      <w:szCs w:val="28"/>
      <w:lang w:eastAsia="ar-SA"/>
    </w:rPr>
  </w:style>
  <w:style w:type="paragraph" w:customStyle="1" w:styleId="26">
    <w:name w:val="IATED-Paper Title"/>
    <w:next w:val="27"/>
    <w:qFormat/>
    <w:uiPriority w:val="0"/>
    <w:pPr>
      <w:spacing w:before="240" w:after="240"/>
      <w:jc w:val="center"/>
    </w:pPr>
    <w:rPr>
      <w:rFonts w:ascii="Arial" w:hAnsi="Arial" w:eastAsia="Calibri" w:cs="Arial"/>
      <w:b/>
      <w:bCs/>
      <w:caps/>
      <w:sz w:val="28"/>
      <w:szCs w:val="24"/>
      <w:lang w:val="en-US" w:eastAsia="es-ES" w:bidi="ar-SA"/>
    </w:rPr>
  </w:style>
  <w:style w:type="paragraph" w:customStyle="1" w:styleId="27">
    <w:name w:val="IATED-Authors"/>
    <w:next w:val="28"/>
    <w:qFormat/>
    <w:uiPriority w:val="0"/>
    <w:pPr>
      <w:spacing w:after="120"/>
      <w:jc w:val="center"/>
    </w:pPr>
    <w:rPr>
      <w:rFonts w:ascii="Arial" w:hAnsi="Arial" w:eastAsia="Calibri" w:cs="Arial"/>
      <w:b/>
      <w:bCs/>
      <w:sz w:val="24"/>
      <w:szCs w:val="24"/>
      <w:lang w:val="en-US" w:eastAsia="es-ES" w:bidi="ar-SA"/>
    </w:rPr>
  </w:style>
  <w:style w:type="paragraph" w:customStyle="1" w:styleId="28">
    <w:name w:val="IATED-Affiliation"/>
    <w:qFormat/>
    <w:uiPriority w:val="0"/>
    <w:pPr>
      <w:jc w:val="center"/>
    </w:pPr>
    <w:rPr>
      <w:rFonts w:ascii="Arial" w:hAnsi="Arial" w:eastAsia="Calibri" w:cs="Arial"/>
      <w:i/>
      <w:sz w:val="22"/>
      <w:szCs w:val="24"/>
      <w:lang w:val="en-US" w:eastAsia="es-ES" w:bidi="ar-SA"/>
    </w:rPr>
  </w:style>
  <w:style w:type="paragraph" w:customStyle="1" w:styleId="29">
    <w:name w:val="IATED-email"/>
    <w:qFormat/>
    <w:uiPriority w:val="0"/>
    <w:pPr>
      <w:spacing w:after="480"/>
      <w:jc w:val="center"/>
    </w:pPr>
    <w:rPr>
      <w:rFonts w:ascii="Arial" w:hAnsi="Arial" w:eastAsia="Calibri" w:cs="Arial"/>
      <w:i/>
      <w:iCs/>
      <w:sz w:val="22"/>
      <w:szCs w:val="24"/>
      <w:lang w:val="en-US" w:eastAsia="es-ES" w:bidi="ar-SA"/>
    </w:rPr>
  </w:style>
  <w:style w:type="paragraph" w:customStyle="1" w:styleId="30">
    <w:name w:val="IATED-References"/>
    <w:basedOn w:val="21"/>
    <w:qFormat/>
    <w:uiPriority w:val="0"/>
    <w:pPr>
      <w:widowControl w:val="0"/>
      <w:tabs>
        <w:tab w:val="left" w:pos="567"/>
      </w:tabs>
      <w:spacing w:before="0" w:after="0"/>
      <w:jc w:val="left"/>
    </w:pPr>
    <w:rPr>
      <w:rFonts w:cs="Arial"/>
      <w:b w:val="0"/>
      <w:bCs w:val="0"/>
      <w:sz w:val="20"/>
    </w:rPr>
  </w:style>
  <w:style w:type="character" w:customStyle="1" w:styleId="31">
    <w:name w:val="Naslov Char"/>
    <w:link w:val="21"/>
    <w:qFormat/>
    <w:uiPriority w:val="10"/>
    <w:rPr>
      <w:rFonts w:ascii="Cambria" w:hAnsi="Cambria" w:eastAsia="Times New Roman" w:cs="Times New Roman"/>
      <w:b/>
      <w:bCs/>
      <w:kern w:val="28"/>
      <w:sz w:val="32"/>
      <w:szCs w:val="32"/>
      <w:lang w:eastAsia="ar-SA"/>
    </w:rPr>
  </w:style>
  <w:style w:type="character" w:customStyle="1" w:styleId="32">
    <w:name w:val="Naslov 5 Char"/>
    <w:link w:val="7"/>
    <w:semiHidden/>
    <w:qFormat/>
    <w:uiPriority w:val="9"/>
    <w:rPr>
      <w:rFonts w:ascii="Calibri" w:hAnsi="Calibri" w:eastAsia="Times New Roman" w:cs="Times New Roman"/>
      <w:b/>
      <w:bCs/>
      <w:i/>
      <w:iCs/>
      <w:sz w:val="26"/>
      <w:szCs w:val="26"/>
      <w:lang w:eastAsia="ar-SA"/>
    </w:rPr>
  </w:style>
  <w:style w:type="character" w:customStyle="1" w:styleId="33">
    <w:name w:val="Naslov 6 Char"/>
    <w:link w:val="8"/>
    <w:semiHidden/>
    <w:qFormat/>
    <w:uiPriority w:val="9"/>
    <w:rPr>
      <w:rFonts w:ascii="Calibri" w:hAnsi="Calibri" w:eastAsia="Times New Roman" w:cs="Times New Roman"/>
      <w:b/>
      <w:bCs/>
      <w:sz w:val="22"/>
      <w:szCs w:val="22"/>
      <w:lang w:eastAsia="ar-SA"/>
    </w:rPr>
  </w:style>
  <w:style w:type="character" w:customStyle="1" w:styleId="34">
    <w:name w:val="Naslov 7 Char"/>
    <w:link w:val="9"/>
    <w:semiHidden/>
    <w:qFormat/>
    <w:uiPriority w:val="9"/>
    <w:rPr>
      <w:rFonts w:ascii="Calibri" w:hAnsi="Calibri" w:eastAsia="Times New Roman" w:cs="Times New Roman"/>
      <w:sz w:val="24"/>
      <w:szCs w:val="24"/>
      <w:lang w:eastAsia="ar-SA"/>
    </w:rPr>
  </w:style>
  <w:style w:type="character" w:customStyle="1" w:styleId="35">
    <w:name w:val="Naslov 8 Char"/>
    <w:link w:val="10"/>
    <w:semiHidden/>
    <w:qFormat/>
    <w:uiPriority w:val="9"/>
    <w:rPr>
      <w:rFonts w:ascii="Calibri" w:hAnsi="Calibri" w:eastAsia="Times New Roman" w:cs="Times New Roman"/>
      <w:i/>
      <w:iCs/>
      <w:sz w:val="24"/>
      <w:szCs w:val="24"/>
      <w:lang w:eastAsia="ar-SA"/>
    </w:rPr>
  </w:style>
  <w:style w:type="character" w:customStyle="1" w:styleId="36">
    <w:name w:val="Naslov 9 Char"/>
    <w:link w:val="11"/>
    <w:semiHidden/>
    <w:qFormat/>
    <w:uiPriority w:val="9"/>
    <w:rPr>
      <w:rFonts w:ascii="Cambria" w:hAnsi="Cambria" w:eastAsia="Times New Roman" w:cs="Times New Roman"/>
      <w:sz w:val="22"/>
      <w:szCs w:val="22"/>
      <w:lang w:eastAsia="ar-SA"/>
    </w:rPr>
  </w:style>
  <w:style w:type="character" w:customStyle="1" w:styleId="37">
    <w:name w:val="Tijelo teksta Char"/>
    <w:link w:val="5"/>
    <w:semiHidden/>
    <w:qFormat/>
    <w:uiPriority w:val="99"/>
    <w:rPr>
      <w:rFonts w:ascii="Calibri" w:hAnsi="Calibri" w:eastAsia="Calibri" w:cs="Calibri"/>
      <w:sz w:val="22"/>
      <w:szCs w:val="22"/>
      <w:lang w:eastAsia="ar-SA"/>
    </w:rPr>
  </w:style>
  <w:style w:type="paragraph" w:styleId="38">
    <w:name w:val="No Spacing"/>
    <w:link w:val="43"/>
    <w:qFormat/>
    <w:uiPriority w:val="1"/>
    <w:pPr>
      <w:suppressAutoHyphens/>
    </w:pPr>
    <w:rPr>
      <w:rFonts w:ascii="Calibri" w:hAnsi="Calibri" w:eastAsia="Calibri" w:cs="Calibri"/>
      <w:sz w:val="22"/>
      <w:szCs w:val="22"/>
      <w:lang w:val="hr-HR" w:eastAsia="ar-SA" w:bidi="ar-SA"/>
    </w:rPr>
  </w:style>
  <w:style w:type="paragraph" w:styleId="39">
    <w:name w:val="List Paragraph"/>
    <w:basedOn w:val="1"/>
    <w:qFormat/>
    <w:uiPriority w:val="34"/>
    <w:pPr>
      <w:ind w:left="720"/>
    </w:pPr>
  </w:style>
  <w:style w:type="character" w:customStyle="1" w:styleId="40">
    <w:name w:val="Tijelo teksta 3 Char"/>
    <w:link w:val="15"/>
    <w:qFormat/>
    <w:uiPriority w:val="0"/>
    <w:rPr>
      <w:rFonts w:eastAsia="Times New Roman"/>
      <w:sz w:val="16"/>
      <w:szCs w:val="16"/>
      <w:lang w:eastAsia="hr-HR"/>
    </w:rPr>
  </w:style>
  <w:style w:type="character" w:customStyle="1" w:styleId="41">
    <w:name w:val="Tekst balončića Char"/>
    <w:link w:val="14"/>
    <w:semiHidden/>
    <w:qFormat/>
    <w:uiPriority w:val="99"/>
    <w:rPr>
      <w:rFonts w:ascii="Segoe UI" w:hAnsi="Segoe UI" w:cs="Segoe UI"/>
      <w:sz w:val="18"/>
      <w:szCs w:val="18"/>
      <w:lang w:eastAsia="ar-SA"/>
    </w:rPr>
  </w:style>
  <w:style w:type="character" w:customStyle="1" w:styleId="42">
    <w:name w:val="Neriješeno spominjanje1"/>
    <w:semiHidden/>
    <w:unhideWhenUsed/>
    <w:qFormat/>
    <w:uiPriority w:val="99"/>
    <w:rPr>
      <w:color w:val="808080"/>
      <w:shd w:val="clear" w:color="auto" w:fill="E6E6E6"/>
    </w:rPr>
  </w:style>
  <w:style w:type="character" w:customStyle="1" w:styleId="43">
    <w:name w:val="Bez proreda Char"/>
    <w:link w:val="38"/>
    <w:qFormat/>
    <w:locked/>
    <w:uiPriority w:val="1"/>
    <w:rPr>
      <w:rFonts w:ascii="Calibri" w:hAnsi="Calibri" w:cs="Calibri"/>
      <w:sz w:val="22"/>
      <w:szCs w:val="22"/>
      <w:lang w:eastAsia="ar-SA"/>
    </w:rPr>
  </w:style>
  <w:style w:type="paragraph" w:customStyle="1" w:styleId="44">
    <w:name w:val="Tablica tijelo"/>
    <w:basedOn w:val="1"/>
    <w:qFormat/>
    <w:uiPriority w:val="0"/>
    <w:pPr>
      <w:keepNext/>
      <w:keepLines/>
      <w:spacing w:after="0" w:line="240" w:lineRule="auto"/>
      <w:jc w:val="center"/>
    </w:pPr>
    <w:rPr>
      <w:rFonts w:ascii="Arial" w:hAnsi="Arial" w:eastAsia="Times New Roman"/>
      <w:b/>
      <w:sz w:val="24"/>
      <w:szCs w:val="20"/>
    </w:rPr>
  </w:style>
  <w:style w:type="paragraph" w:customStyle="1" w:styleId="45">
    <w:name w:val="Default"/>
    <w:basedOn w:val="1"/>
    <w:qFormat/>
    <w:uiPriority w:val="0"/>
    <w:pPr>
      <w:autoSpaceDE w:val="0"/>
      <w:autoSpaceDN w:val="0"/>
      <w:spacing w:after="0" w:line="240" w:lineRule="auto"/>
    </w:pPr>
    <w:rPr>
      <w:rFonts w:cs="Calibri" w:eastAsiaTheme="minorHAnsi"/>
      <w:color w:val="000000"/>
      <w:sz w:val="24"/>
      <w:szCs w:val="24"/>
      <w:lang w:eastAsia="hr-HR"/>
    </w:rPr>
  </w:style>
  <w:style w:type="character" w:customStyle="1" w:styleId="46">
    <w:name w:val="Zaglavlje Char"/>
    <w:basedOn w:val="12"/>
    <w:link w:val="18"/>
    <w:qFormat/>
    <w:uiPriority w:val="99"/>
    <w:rPr>
      <w:rFonts w:ascii="Calibri" w:hAnsi="Calibri"/>
      <w:sz w:val="22"/>
      <w:szCs w:val="22"/>
      <w:lang w:eastAsia="en-US"/>
    </w:rPr>
  </w:style>
  <w:style w:type="character" w:customStyle="1" w:styleId="47">
    <w:name w:val="Podnožje Char"/>
    <w:basedOn w:val="12"/>
    <w:link w:val="17"/>
    <w:qFormat/>
    <w:uiPriority w:val="99"/>
    <w:rPr>
      <w:rFonts w:ascii="Calibri" w:hAnsi="Calibri"/>
      <w:sz w:val="22"/>
      <w:szCs w:val="22"/>
      <w:lang w:eastAsia="en-US"/>
    </w:rPr>
  </w:style>
  <w:style w:type="character" w:customStyle="1" w:styleId="48">
    <w:name w:val="Neriješeno spominjanje2"/>
    <w:basedOn w:val="12"/>
    <w:semiHidden/>
    <w:unhideWhenUsed/>
    <w:qFormat/>
    <w:uiPriority w:val="99"/>
    <w:rPr>
      <w:color w:val="605E5C"/>
      <w:shd w:val="clear" w:color="auto" w:fill="E1DFDD"/>
    </w:rPr>
  </w:style>
  <w:style w:type="paragraph" w:customStyle="1" w:styleId="49">
    <w:name w:val="Odlomak popisa1"/>
    <w:basedOn w:val="1"/>
    <w:qFormat/>
    <w:uiPriority w:val="0"/>
    <w:pPr>
      <w:spacing w:before="100" w:beforeAutospacing="1" w:after="100" w:afterAutospacing="1" w:line="240" w:lineRule="auto"/>
      <w:contextualSpacing/>
      <w:jc w:val="center"/>
    </w:pPr>
    <w:rPr>
      <w:rFonts w:eastAsia="Times New Roman"/>
      <w:sz w:val="24"/>
      <w:szCs w:val="24"/>
      <w:lang w:eastAsia="hr-HR"/>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66C84B-EF10-40C7-9926-28ED24168F9D}">
  <ds:schemaRefs/>
</ds:datastoreItem>
</file>

<file path=docProps/app.xml><?xml version="1.0" encoding="utf-8"?>
<Properties xmlns="http://schemas.openxmlformats.org/officeDocument/2006/extended-properties" xmlns:vt="http://schemas.openxmlformats.org/officeDocument/2006/docPropsVTypes">
  <Template>Normal</Template>
  <Pages>13</Pages>
  <Words>4397</Words>
  <Characters>25068</Characters>
  <Lines>208</Lines>
  <Paragraphs>58</Paragraphs>
  <TotalTime>910</TotalTime>
  <ScaleCrop>false</ScaleCrop>
  <LinksUpToDate>false</LinksUpToDate>
  <CharactersWithSpaces>29407</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2020-03-20T11:01:00Z</dcterms:created>
  <dc:creator>Korisnik</dc:creator>
  <cp:lastModifiedBy>smz100</cp:lastModifiedBy>
  <cp:lastPrinted>2026-06-09T11:25:00Z</cp:lastPrinted>
  <dcterms:modified xsi:type="dcterms:W3CDTF">2026-07-20T10:36:04Z</dcterms:modified>
  <cp:revision>732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1033-12.1.0.27458</vt:lpwstr>
  </property>
  <property fmtid="{D5CDD505-2E9C-101B-9397-08002B2CF9AE}" pid="3" name="ICV">
    <vt:lpwstr>8896F209D7F14EED8FAF08CA9EC0E757</vt:lpwstr>
  </property>
  <property fmtid="{D5CDD505-2E9C-101B-9397-08002B2CF9AE}" pid="4" name="KSOTemplateDocerSaveRecord">
    <vt:lpwstr>eyJoZGlkIjoiOWY4YjNiMDJkM2ZlNTA5MTBlNmRiNjVjZjNlN2JmNDMifQ==</vt:lpwstr>
  </property>
</Properties>
</file>