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5C6CEF" w14:textId="42E6E3B8" w:rsidR="00E64964" w:rsidRPr="00E64964" w:rsidRDefault="00E64964" w:rsidP="00E64964">
      <w:pPr>
        <w:tabs>
          <w:tab w:val="left" w:pos="1892"/>
        </w:tabs>
        <w:spacing w:after="0" w:line="240" w:lineRule="auto"/>
        <w:jc w:val="center"/>
        <w:rPr>
          <w:rFonts w:ascii="Calibri" w:eastAsia="Times New Roman" w:hAnsi="Calibri" w:cs="Calibri"/>
          <w:b/>
          <w:sz w:val="24"/>
          <w:szCs w:val="24"/>
        </w:rPr>
      </w:pPr>
      <w:r>
        <w:rPr>
          <w:rFonts w:ascii="Calibri" w:eastAsia="Times New Roman" w:hAnsi="Calibri" w:cs="Calibri"/>
          <w:b/>
          <w:sz w:val="24"/>
          <w:szCs w:val="24"/>
        </w:rPr>
        <w:t xml:space="preserve">IZVJEŠĆE </w:t>
      </w:r>
      <w:r w:rsidRPr="00E64964">
        <w:rPr>
          <w:rFonts w:ascii="Calibri" w:eastAsia="Times New Roman" w:hAnsi="Calibri" w:cs="Calibri"/>
          <w:b/>
          <w:sz w:val="24"/>
          <w:szCs w:val="24"/>
        </w:rPr>
        <w:t xml:space="preserve">O RADU UPRAVNOG ODJELA ZA PROSTORNO UREĐENJE,GRADITELJSTVO I </w:t>
      </w:r>
      <w:r w:rsidR="00B9451D">
        <w:rPr>
          <w:rFonts w:ascii="Calibri" w:eastAsia="Times New Roman" w:hAnsi="Calibri" w:cs="Calibri"/>
          <w:b/>
          <w:sz w:val="24"/>
          <w:szCs w:val="24"/>
        </w:rPr>
        <w:t>OBNOVU U PE</w:t>
      </w:r>
      <w:r w:rsidRPr="00E64964">
        <w:rPr>
          <w:rFonts w:ascii="Calibri" w:eastAsia="Times New Roman" w:hAnsi="Calibri" w:cs="Calibri"/>
          <w:b/>
          <w:sz w:val="24"/>
          <w:szCs w:val="24"/>
        </w:rPr>
        <w:t>RIODU OD 1. 1. DO 30. 06. 202</w:t>
      </w:r>
      <w:r w:rsidR="00B9451D">
        <w:rPr>
          <w:rFonts w:ascii="Calibri" w:eastAsia="Times New Roman" w:hAnsi="Calibri" w:cs="Calibri"/>
          <w:b/>
          <w:sz w:val="24"/>
          <w:szCs w:val="24"/>
        </w:rPr>
        <w:t>2</w:t>
      </w:r>
      <w:r w:rsidRPr="00E64964">
        <w:rPr>
          <w:rFonts w:ascii="Calibri" w:eastAsia="Times New Roman" w:hAnsi="Calibri" w:cs="Calibri"/>
          <w:b/>
          <w:sz w:val="24"/>
          <w:szCs w:val="24"/>
        </w:rPr>
        <w:t>. GODINE</w:t>
      </w:r>
    </w:p>
    <w:p w14:paraId="01CC0FBA" w14:textId="118A9675" w:rsidR="00E64964" w:rsidRPr="00E64964" w:rsidRDefault="00E64964" w:rsidP="00E64964">
      <w:pPr>
        <w:tabs>
          <w:tab w:val="left" w:pos="1892"/>
        </w:tabs>
        <w:spacing w:after="0" w:line="240" w:lineRule="auto"/>
        <w:jc w:val="center"/>
        <w:rPr>
          <w:rFonts w:ascii="Calibri" w:eastAsia="Times New Roman" w:hAnsi="Calibri" w:cs="Calibri"/>
          <w:b/>
          <w:sz w:val="24"/>
          <w:szCs w:val="24"/>
        </w:rPr>
      </w:pPr>
      <w:r w:rsidRPr="00E64964">
        <w:rPr>
          <w:rFonts w:ascii="Calibri" w:eastAsia="Times New Roman" w:hAnsi="Calibri" w:cs="Calibri"/>
          <w:b/>
          <w:sz w:val="24"/>
          <w:szCs w:val="24"/>
        </w:rPr>
        <w:t>(</w:t>
      </w:r>
      <w:r w:rsidR="00BE6E34">
        <w:rPr>
          <w:rFonts w:ascii="Calibri" w:eastAsia="Times New Roman" w:hAnsi="Calibri" w:cs="Calibri"/>
          <w:b/>
          <w:sz w:val="24"/>
          <w:szCs w:val="24"/>
        </w:rPr>
        <w:t xml:space="preserve">Obrazloženje </w:t>
      </w:r>
      <w:r w:rsidRPr="00E64964">
        <w:rPr>
          <w:rFonts w:ascii="Calibri" w:eastAsia="Times New Roman" w:hAnsi="Calibri" w:cs="Calibri"/>
          <w:b/>
          <w:sz w:val="24"/>
          <w:szCs w:val="24"/>
        </w:rPr>
        <w:t>izvršenj</w:t>
      </w:r>
      <w:r w:rsidR="00BE6E34">
        <w:rPr>
          <w:rFonts w:ascii="Calibri" w:eastAsia="Times New Roman" w:hAnsi="Calibri" w:cs="Calibri"/>
          <w:b/>
          <w:sz w:val="24"/>
          <w:szCs w:val="24"/>
        </w:rPr>
        <w:t>a</w:t>
      </w:r>
      <w:r w:rsidRPr="00E64964">
        <w:rPr>
          <w:rFonts w:ascii="Calibri" w:eastAsia="Times New Roman" w:hAnsi="Calibri" w:cs="Calibri"/>
          <w:b/>
          <w:sz w:val="24"/>
          <w:szCs w:val="24"/>
        </w:rPr>
        <w:t xml:space="preserve"> Financijskog plana u razmatranom periodu)</w:t>
      </w:r>
    </w:p>
    <w:p w14:paraId="0C8412A3" w14:textId="77777777" w:rsidR="00E64964" w:rsidRPr="00E64964" w:rsidRDefault="00E64964" w:rsidP="00E64964">
      <w:pPr>
        <w:spacing w:after="0" w:line="240" w:lineRule="auto"/>
        <w:jc w:val="both"/>
        <w:rPr>
          <w:rFonts w:ascii="Calibri" w:eastAsia="Times New Roman" w:hAnsi="Calibri" w:cs="Calibri"/>
          <w:b/>
          <w:sz w:val="16"/>
          <w:szCs w:val="16"/>
          <w:u w:val="single"/>
        </w:rPr>
      </w:pPr>
    </w:p>
    <w:p w14:paraId="41CBB64F" w14:textId="77777777" w:rsidR="00E64964" w:rsidRPr="00B9451D" w:rsidRDefault="00E64964" w:rsidP="00E64964">
      <w:pPr>
        <w:spacing w:after="0" w:line="240" w:lineRule="auto"/>
        <w:jc w:val="both"/>
        <w:rPr>
          <w:rFonts w:ascii="Calibri" w:eastAsia="Times New Roman" w:hAnsi="Calibri" w:cs="Calibri"/>
          <w:b/>
          <w:u w:val="single"/>
        </w:rPr>
      </w:pPr>
    </w:p>
    <w:p w14:paraId="3F1DBCEC" w14:textId="77777777" w:rsidR="00E64964" w:rsidRPr="00B9451D" w:rsidRDefault="00E64964" w:rsidP="00E64964">
      <w:pPr>
        <w:widowControl w:val="0"/>
        <w:suppressAutoHyphens/>
        <w:spacing w:after="0" w:line="240" w:lineRule="auto"/>
        <w:jc w:val="both"/>
        <w:rPr>
          <w:rFonts w:ascii="Calibri" w:eastAsia="Lucida Sans Unicode" w:hAnsi="Calibri" w:cs="Calibri"/>
          <w:b/>
          <w:kern w:val="2"/>
          <w:u w:val="single"/>
          <w:shd w:val="clear" w:color="auto" w:fill="FFFFFF"/>
        </w:rPr>
      </w:pPr>
      <w:r w:rsidRPr="00B9451D">
        <w:rPr>
          <w:rFonts w:ascii="Calibri" w:eastAsia="Lucida Sans Unicode" w:hAnsi="Calibri" w:cs="Calibri"/>
          <w:b/>
          <w:kern w:val="2"/>
          <w:u w:val="single"/>
          <w:shd w:val="clear" w:color="auto" w:fill="FFFFFF"/>
        </w:rPr>
        <w:t>OPĆI PRIKAZ POSLOVA UO:</w:t>
      </w:r>
    </w:p>
    <w:p w14:paraId="09D51465" w14:textId="6EBF8DAD" w:rsidR="00B9451D" w:rsidRDefault="00B9451D" w:rsidP="00B9451D">
      <w:pPr>
        <w:spacing w:after="0" w:line="240" w:lineRule="auto"/>
        <w:ind w:firstLine="708"/>
        <w:jc w:val="both"/>
        <w:rPr>
          <w:rFonts w:ascii="Calibri" w:eastAsia="Times New Roman" w:hAnsi="Calibri" w:cs="Calibri"/>
          <w:lang w:eastAsia="hr-HR"/>
        </w:rPr>
      </w:pPr>
      <w:r w:rsidRPr="00B9451D">
        <w:rPr>
          <w:rFonts w:ascii="Calibri" w:eastAsia="Times New Roman" w:hAnsi="Calibri" w:cs="Calibri"/>
        </w:rPr>
        <w:t xml:space="preserve">Upravni odjel za prostorno uređenje, graditeljstvo i obnovu (nastavno u tekstu: UO) je uspostavljen temeljem </w:t>
      </w:r>
      <w:r w:rsidRPr="00B9451D">
        <w:rPr>
          <w:rFonts w:ascii="Calibri" w:eastAsia="Times New Roman" w:hAnsi="Calibri" w:cs="Calibri"/>
          <w:lang w:eastAsia="hr-HR"/>
        </w:rPr>
        <w:t xml:space="preserve">Odluke o ustroju i djelokrugu upravnih tijela Sisačko-moslavačke županije, donesene na 3. sjednici Županijske skupštine, održane 21. 10. 2021. godine („Službeni glasnik Sisačko-moslavačke županije“, broj 23/21). </w:t>
      </w:r>
    </w:p>
    <w:p w14:paraId="29E05C39" w14:textId="77777777" w:rsidR="00B9451D" w:rsidRDefault="00B9451D" w:rsidP="00B9451D">
      <w:pPr>
        <w:spacing w:after="0" w:line="240" w:lineRule="auto"/>
        <w:ind w:firstLine="708"/>
        <w:jc w:val="both"/>
        <w:rPr>
          <w:rFonts w:ascii="Calibri" w:eastAsia="Times New Roman" w:hAnsi="Calibri" w:cs="Calibri"/>
          <w:lang w:eastAsia="hr-HR"/>
        </w:rPr>
      </w:pPr>
      <w:r>
        <w:rPr>
          <w:rFonts w:ascii="Calibri" w:eastAsia="Times New Roman" w:hAnsi="Calibri" w:cs="Calibri"/>
          <w:lang w:eastAsia="hr-HR"/>
        </w:rPr>
        <w:t>Sukladno navedenoj Odluci upravni odjel ima ustrojene dva odsjeka i to:</w:t>
      </w:r>
    </w:p>
    <w:p w14:paraId="795AC032" w14:textId="36A170F8" w:rsidR="00B9451D" w:rsidRPr="00B9451D" w:rsidRDefault="00B9451D" w:rsidP="00B9451D">
      <w:pPr>
        <w:numPr>
          <w:ilvl w:val="0"/>
          <w:numId w:val="9"/>
        </w:numPr>
        <w:spacing w:after="0" w:line="240" w:lineRule="auto"/>
        <w:jc w:val="both"/>
        <w:rPr>
          <w:rFonts w:ascii="Calibri" w:eastAsia="Times New Roman" w:hAnsi="Calibri" w:cs="Calibri"/>
          <w:lang w:eastAsia="hr-HR"/>
        </w:rPr>
      </w:pPr>
      <w:r w:rsidRPr="00B9451D">
        <w:rPr>
          <w:rFonts w:ascii="Calibri" w:eastAsia="Times New Roman" w:hAnsi="Calibri" w:cs="Calibri"/>
          <w:lang w:eastAsia="hr-HR"/>
        </w:rPr>
        <w:t>Odsjek za prostorno uređenje, graditeljstvo i e</w:t>
      </w:r>
      <w:r w:rsidR="00C85154">
        <w:rPr>
          <w:rFonts w:ascii="Calibri" w:eastAsia="Times New Roman" w:hAnsi="Calibri" w:cs="Calibri"/>
          <w:lang w:eastAsia="hr-HR"/>
        </w:rPr>
        <w:t>-</w:t>
      </w:r>
      <w:r w:rsidRPr="00B9451D">
        <w:rPr>
          <w:rFonts w:ascii="Calibri" w:eastAsia="Times New Roman" w:hAnsi="Calibri" w:cs="Calibri"/>
          <w:lang w:eastAsia="hr-HR"/>
        </w:rPr>
        <w:t xml:space="preserve">Nekretnine (koji ima ispostave u </w:t>
      </w:r>
      <w:proofErr w:type="spellStart"/>
      <w:r w:rsidRPr="00B9451D">
        <w:rPr>
          <w:rFonts w:ascii="Calibri" w:eastAsia="Times New Roman" w:hAnsi="Calibri" w:cs="Calibri"/>
          <w:lang w:eastAsia="hr-HR"/>
        </w:rPr>
        <w:t>Novskoj</w:t>
      </w:r>
      <w:proofErr w:type="spellEnd"/>
      <w:r w:rsidRPr="00B9451D">
        <w:rPr>
          <w:rFonts w:ascii="Calibri" w:eastAsia="Times New Roman" w:hAnsi="Calibri" w:cs="Calibri"/>
          <w:lang w:eastAsia="hr-HR"/>
        </w:rPr>
        <w:t>, Glini, Popovači i Hrvatskoj Kostajnici. Ispostava u Hrvatskoj Kostajnici ne radi, već poslove obavlja Ispostava Novska.)</w:t>
      </w:r>
    </w:p>
    <w:p w14:paraId="298C354D" w14:textId="6A77BD39" w:rsidR="00B9451D" w:rsidRPr="00B9451D" w:rsidRDefault="00B9451D" w:rsidP="00B9451D">
      <w:pPr>
        <w:numPr>
          <w:ilvl w:val="0"/>
          <w:numId w:val="9"/>
        </w:numPr>
        <w:spacing w:after="0" w:line="240" w:lineRule="auto"/>
        <w:jc w:val="both"/>
        <w:rPr>
          <w:rFonts w:ascii="Calibri" w:eastAsia="Times New Roman" w:hAnsi="Calibri" w:cs="Calibri"/>
          <w:lang w:eastAsia="hr-HR"/>
        </w:rPr>
      </w:pPr>
      <w:r w:rsidRPr="00B9451D">
        <w:rPr>
          <w:rFonts w:ascii="Calibri" w:eastAsia="Times New Roman" w:hAnsi="Calibri" w:cs="Calibri"/>
          <w:lang w:eastAsia="hr-HR"/>
        </w:rPr>
        <w:t xml:space="preserve">Odsjek za imovinsko-pravne poslove, stambeno zbrinjavanje i obnovu (ovaj odsjek ima izdvojena radna mjesta u Petrinji, Glini, </w:t>
      </w:r>
      <w:proofErr w:type="spellStart"/>
      <w:r w:rsidRPr="00B9451D">
        <w:rPr>
          <w:rFonts w:ascii="Calibri" w:eastAsia="Times New Roman" w:hAnsi="Calibri" w:cs="Calibri"/>
          <w:lang w:eastAsia="hr-HR"/>
        </w:rPr>
        <w:t>Novskoj</w:t>
      </w:r>
      <w:proofErr w:type="spellEnd"/>
      <w:r w:rsidRPr="00B9451D">
        <w:rPr>
          <w:rFonts w:ascii="Calibri" w:eastAsia="Times New Roman" w:hAnsi="Calibri" w:cs="Calibri"/>
          <w:lang w:eastAsia="hr-HR"/>
        </w:rPr>
        <w:t xml:space="preserve"> i Kutini)</w:t>
      </w:r>
      <w:r w:rsidR="00C85154">
        <w:rPr>
          <w:rFonts w:ascii="Calibri" w:eastAsia="Times New Roman" w:hAnsi="Calibri" w:cs="Calibri"/>
          <w:lang w:eastAsia="hr-HR"/>
        </w:rPr>
        <w:t>.</w:t>
      </w:r>
    </w:p>
    <w:p w14:paraId="03BEC91B" w14:textId="77777777" w:rsidR="00765C62" w:rsidRPr="00C85154" w:rsidRDefault="00765C62" w:rsidP="00B9451D">
      <w:pPr>
        <w:spacing w:after="0" w:line="240" w:lineRule="auto"/>
        <w:jc w:val="both"/>
        <w:rPr>
          <w:rFonts w:ascii="Calibri" w:eastAsia="Times New Roman" w:hAnsi="Calibri" w:cs="Calibri"/>
          <w:sz w:val="16"/>
          <w:szCs w:val="16"/>
          <w:lang w:eastAsia="hr-HR"/>
        </w:rPr>
      </w:pPr>
    </w:p>
    <w:p w14:paraId="604770E9" w14:textId="77777777" w:rsidR="00765C62" w:rsidRPr="00765C62" w:rsidRDefault="00765C62" w:rsidP="00412820">
      <w:pPr>
        <w:spacing w:after="0" w:line="254" w:lineRule="auto"/>
        <w:contextualSpacing/>
        <w:jc w:val="both"/>
        <w:rPr>
          <w:rFonts w:ascii="Calibri" w:eastAsia="Calibri" w:hAnsi="Calibri" w:cs="Times New Roman"/>
          <w:b/>
          <w:bCs/>
          <w:u w:val="single"/>
        </w:rPr>
      </w:pPr>
      <w:r w:rsidRPr="00765C62">
        <w:rPr>
          <w:rFonts w:ascii="Calibri" w:eastAsia="Calibri" w:hAnsi="Calibri" w:cs="Times New Roman"/>
          <w:b/>
          <w:bCs/>
          <w:u w:val="single"/>
        </w:rPr>
        <w:t>PROSTORNO UREĐENJE, GRADITELJSTVO I E-NEKRETNINE</w:t>
      </w:r>
    </w:p>
    <w:p w14:paraId="2F3AE4AA" w14:textId="59B9DAE1" w:rsidR="00C85154" w:rsidRDefault="00B9451D" w:rsidP="00C85154">
      <w:pPr>
        <w:spacing w:after="0" w:line="240" w:lineRule="auto"/>
        <w:ind w:firstLine="708"/>
        <w:jc w:val="both"/>
        <w:rPr>
          <w:rFonts w:ascii="Calibri" w:eastAsia="Times New Roman" w:hAnsi="Calibri" w:cs="Calibri"/>
          <w:color w:val="333333"/>
          <w:lang w:eastAsia="hr-HR"/>
        </w:rPr>
      </w:pPr>
      <w:r w:rsidRPr="00B9451D">
        <w:rPr>
          <w:rFonts w:ascii="Calibri" w:eastAsia="Times New Roman" w:hAnsi="Calibri" w:cs="Calibri"/>
          <w:lang w:eastAsia="hr-HR"/>
        </w:rPr>
        <w:t xml:space="preserve">Poslovi koji se obavljaju u Odsjeku za prostornog uređenja, graditeljstva i </w:t>
      </w:r>
      <w:proofErr w:type="spellStart"/>
      <w:r w:rsidRPr="00B9451D">
        <w:rPr>
          <w:rFonts w:ascii="Calibri" w:eastAsia="Times New Roman" w:hAnsi="Calibri" w:cs="Calibri"/>
          <w:lang w:eastAsia="hr-HR"/>
        </w:rPr>
        <w:t>eNekretnina</w:t>
      </w:r>
      <w:proofErr w:type="spellEnd"/>
      <w:r w:rsidRPr="00B9451D">
        <w:rPr>
          <w:rFonts w:ascii="Calibri" w:eastAsia="Times New Roman" w:hAnsi="Calibri" w:cs="Calibri"/>
          <w:lang w:eastAsia="hr-HR"/>
        </w:rPr>
        <w:t xml:space="preserve"> se odnose uglavnom na izdavanje akata gradnje i prostornog uređenje, te </w:t>
      </w:r>
      <w:proofErr w:type="spellStart"/>
      <w:r w:rsidRPr="00B9451D">
        <w:rPr>
          <w:rFonts w:ascii="Calibri" w:eastAsia="Times New Roman" w:hAnsi="Calibri" w:cs="Calibri"/>
          <w:lang w:eastAsia="hr-HR"/>
        </w:rPr>
        <w:t>eNekretnina</w:t>
      </w:r>
      <w:proofErr w:type="spellEnd"/>
      <w:r w:rsidRPr="00B9451D">
        <w:rPr>
          <w:rFonts w:ascii="Calibri" w:eastAsia="Times New Roman" w:hAnsi="Calibri" w:cs="Calibri"/>
          <w:lang w:eastAsia="hr-HR"/>
        </w:rPr>
        <w:t xml:space="preserve">, na  temelju </w:t>
      </w:r>
      <w:r w:rsidRPr="00B9451D">
        <w:rPr>
          <w:rFonts w:ascii="Calibri" w:eastAsia="Times New Roman" w:hAnsi="Calibri" w:cs="Calibri"/>
          <w:b/>
          <w:bCs/>
          <w:color w:val="333333"/>
          <w:lang w:eastAsia="hr-HR"/>
        </w:rPr>
        <w:t>Zakona o prostornom uređenju</w:t>
      </w:r>
      <w:r w:rsidRPr="00B9451D">
        <w:rPr>
          <w:rFonts w:ascii="Calibri" w:eastAsia="Times New Roman" w:hAnsi="Calibri" w:cs="Calibri"/>
          <w:color w:val="333333"/>
          <w:lang w:eastAsia="hr-HR"/>
        </w:rPr>
        <w:t xml:space="preserve"> ( „Narodne novine“ broj 153/13, 65/17, 114/18, 39/19, 98/19; akti koji se izdaju su: lokacijska informacija, lokacijska dozvola, rješenje o izmjenama i dopunama lokacijske dozvole, rješenje o  produženju važenja lokacijske dozvole, utvrđivanje posebnih uvjeta i uvjeta priključenja, rješenje o utvrđivanju građevne čestice, potvrda parcelacijskog elaborata, ovjera elaborata </w:t>
      </w:r>
      <w:proofErr w:type="spellStart"/>
      <w:r w:rsidRPr="00B9451D">
        <w:rPr>
          <w:rFonts w:ascii="Calibri" w:eastAsia="Times New Roman" w:hAnsi="Calibri" w:cs="Calibri"/>
          <w:color w:val="333333"/>
          <w:lang w:eastAsia="hr-HR"/>
        </w:rPr>
        <w:t>etažiranja</w:t>
      </w:r>
      <w:proofErr w:type="spellEnd"/>
      <w:r w:rsidRPr="00B9451D">
        <w:rPr>
          <w:rFonts w:ascii="Calibri" w:eastAsia="Times New Roman" w:hAnsi="Calibri" w:cs="Calibri"/>
          <w:color w:val="333333"/>
          <w:lang w:eastAsia="hr-HR"/>
        </w:rPr>
        <w:t xml:space="preserve">;) </w:t>
      </w:r>
      <w:r w:rsidRPr="00B9451D">
        <w:rPr>
          <w:rFonts w:ascii="Calibri" w:eastAsia="Times New Roman" w:hAnsi="Calibri" w:cs="Calibri"/>
          <w:b/>
          <w:bCs/>
          <w:color w:val="333333"/>
          <w:lang w:eastAsia="hr-HR"/>
        </w:rPr>
        <w:t>Zakona o gradnji</w:t>
      </w:r>
      <w:r w:rsidRPr="00B9451D">
        <w:rPr>
          <w:rFonts w:ascii="Calibri" w:eastAsia="Times New Roman" w:hAnsi="Calibri" w:cs="Calibri"/>
          <w:color w:val="333333"/>
          <w:lang w:eastAsia="hr-HR"/>
        </w:rPr>
        <w:t xml:space="preserve"> („Narodne novine“ broj  153/13, 20/17, 39/19 i 125/19; akti koji se izdaju su: građevinska dozvola , rješenje o izmjenama i dopunama građevinske dozvole, rješenje o ukidanju građevinske dozvole, građevinska dozvola za pripremne radove, rješenje o promjeni investitora, uporabna dozvola, uporabna dozvola za određene građevine, privremena uporabna dozvola, uporabna dozvola za dio građevine, rješenje o ukidanju građevinske dozvole, potvrda o dostavi završnog izvješća, prijava početka građenja i </w:t>
      </w:r>
      <w:proofErr w:type="spellStart"/>
      <w:r w:rsidRPr="00B9451D">
        <w:rPr>
          <w:rFonts w:ascii="Calibri" w:eastAsia="Times New Roman" w:hAnsi="Calibri" w:cs="Calibri"/>
          <w:color w:val="333333"/>
          <w:lang w:eastAsia="hr-HR"/>
        </w:rPr>
        <w:t>iskolčenja</w:t>
      </w:r>
      <w:proofErr w:type="spellEnd"/>
      <w:r w:rsidRPr="00B9451D">
        <w:rPr>
          <w:rFonts w:ascii="Calibri" w:eastAsia="Times New Roman" w:hAnsi="Calibri" w:cs="Calibri"/>
          <w:color w:val="333333"/>
          <w:lang w:eastAsia="hr-HR"/>
        </w:rPr>
        <w:t xml:space="preserve">, prijava početka uklanjanja, rješenje o odbijanju/odbacivanju ili obustavi, potvrda glavnog projekta;) </w:t>
      </w:r>
      <w:r w:rsidRPr="00B9451D">
        <w:rPr>
          <w:rFonts w:ascii="Calibri" w:eastAsia="Times New Roman" w:hAnsi="Calibri" w:cs="Calibri"/>
          <w:b/>
          <w:bCs/>
          <w:color w:val="333333"/>
          <w:lang w:eastAsia="hr-HR"/>
        </w:rPr>
        <w:t>Zakona o postupanju s nezakonito izgrađenim zgradama</w:t>
      </w:r>
      <w:r w:rsidRPr="00B9451D">
        <w:rPr>
          <w:rFonts w:ascii="Calibri" w:eastAsia="Times New Roman" w:hAnsi="Calibri" w:cs="Calibri"/>
          <w:color w:val="333333"/>
          <w:lang w:eastAsia="hr-HR"/>
        </w:rPr>
        <w:t xml:space="preserve"> („Narodne novine“ broj 86/12, 143/13, 65/17 i 14/19; akt koji se izdaje je: rješenje o izvedenom stanju)</w:t>
      </w:r>
      <w:r w:rsidR="00C85154">
        <w:rPr>
          <w:rFonts w:ascii="Calibri" w:eastAsia="Times New Roman" w:hAnsi="Calibri" w:cs="Calibri"/>
          <w:color w:val="333333"/>
          <w:lang w:eastAsia="hr-HR"/>
        </w:rPr>
        <w:t>.</w:t>
      </w:r>
    </w:p>
    <w:p w14:paraId="4A0EBDA8" w14:textId="6FB1ED78" w:rsidR="00C85154" w:rsidRPr="00C85154" w:rsidRDefault="00C85154" w:rsidP="00B9451D">
      <w:pPr>
        <w:spacing w:after="0" w:line="240" w:lineRule="auto"/>
        <w:jc w:val="both"/>
        <w:rPr>
          <w:rFonts w:ascii="Calibri" w:eastAsia="Times New Roman" w:hAnsi="Calibri" w:cs="Calibri"/>
        </w:rPr>
      </w:pPr>
      <w:r w:rsidRPr="00B9451D">
        <w:rPr>
          <w:rFonts w:ascii="Calibri" w:eastAsia="Lucida Sans Unicode" w:hAnsi="Calibri" w:cs="Calibri"/>
          <w:kern w:val="2"/>
          <w:shd w:val="clear" w:color="auto" w:fill="FFFFFF"/>
        </w:rPr>
        <w:t xml:space="preserve">           Poslovi prostornog uređenja i gradnje se obavljaju u </w:t>
      </w:r>
      <w:r w:rsidRPr="00B9451D">
        <w:rPr>
          <w:rFonts w:ascii="Calibri" w:eastAsia="Times New Roman" w:hAnsi="Calibri" w:cs="Calibri"/>
        </w:rPr>
        <w:t xml:space="preserve">Sisku za područje općina Lekenik, Martinska Ves, Sunja, i Dvor, a po potrebi i ostalih područja (ovisno o opterećenju ispostava), te u ispostavama: Ispostava Novska (obavlja poslove prostornog uređenja i gradnje za gradove Novska i Hrvatska Kostajnica, te općine Jasenovac, Lipovljani, Donji </w:t>
      </w:r>
      <w:proofErr w:type="spellStart"/>
      <w:r w:rsidRPr="00B9451D">
        <w:rPr>
          <w:rFonts w:ascii="Calibri" w:eastAsia="Times New Roman" w:hAnsi="Calibri" w:cs="Calibri"/>
        </w:rPr>
        <w:t>Kukuruzari</w:t>
      </w:r>
      <w:proofErr w:type="spellEnd"/>
      <w:r w:rsidRPr="00B9451D">
        <w:rPr>
          <w:rFonts w:ascii="Calibri" w:eastAsia="Times New Roman" w:hAnsi="Calibri" w:cs="Calibri"/>
        </w:rPr>
        <w:t>, Majur i  Hrvatska Dubica), Ispostava Popovača (za područje Grada Popovača, te Općinu Velika Ludina), Ispostava Glina (za područje Grada Gline, te općina Topusko i Gvozd) i Ispostava Hrvatska Kostajnica (ne radi, te su poslovi u nadležnosti ispostave Novska).</w:t>
      </w:r>
    </w:p>
    <w:p w14:paraId="46BE09CA" w14:textId="00F38EE5" w:rsidR="00C85154" w:rsidRPr="00765C62" w:rsidRDefault="00C85154" w:rsidP="00C85154">
      <w:pPr>
        <w:shd w:val="clear" w:color="auto" w:fill="FFFFFF"/>
        <w:spacing w:after="0" w:line="254" w:lineRule="auto"/>
        <w:ind w:left="48" w:firstLine="660"/>
        <w:jc w:val="both"/>
        <w:rPr>
          <w:rFonts w:ascii="Calibri" w:eastAsia="Times New Roman" w:hAnsi="Calibri" w:cs="Calibri"/>
          <w:lang w:eastAsia="hr-HR"/>
        </w:rPr>
      </w:pPr>
      <w:r w:rsidRPr="00765C62">
        <w:rPr>
          <w:rFonts w:ascii="Calibri" w:eastAsia="Times New Roman" w:hAnsi="Calibri" w:cs="Calibri"/>
          <w:lang w:eastAsia="hr-HR"/>
        </w:rPr>
        <w:t xml:space="preserve">Ovaj odsjek obavlja i poslove iz nadležnosti e-Nekretnina za cijelu županiju (osim grada Siska), </w:t>
      </w:r>
      <w:r>
        <w:rPr>
          <w:rFonts w:ascii="Calibri" w:eastAsia="Times New Roman" w:hAnsi="Calibri" w:cs="Calibri"/>
          <w:lang w:eastAsia="hr-HR"/>
        </w:rPr>
        <w:t>Ovi p</w:t>
      </w:r>
      <w:r w:rsidRPr="00765C62">
        <w:rPr>
          <w:rFonts w:ascii="Calibri" w:eastAsia="Times New Roman" w:hAnsi="Calibri" w:cs="Calibri"/>
          <w:lang w:eastAsia="hr-HR"/>
        </w:rPr>
        <w:t xml:space="preserve">oslovi se </w:t>
      </w:r>
      <w:r>
        <w:rPr>
          <w:rFonts w:ascii="Calibri" w:eastAsia="Times New Roman" w:hAnsi="Calibri" w:cs="Calibri"/>
          <w:lang w:eastAsia="hr-HR"/>
        </w:rPr>
        <w:t xml:space="preserve">temelje na </w:t>
      </w:r>
      <w:r w:rsidRPr="002A04B8">
        <w:rPr>
          <w:rFonts w:ascii="Calibri" w:eastAsia="Times New Roman" w:hAnsi="Calibri" w:cs="Calibri"/>
          <w:b/>
          <w:bCs/>
          <w:lang w:eastAsia="hr-HR"/>
        </w:rPr>
        <w:t>Zakonu o procjeni vrijednosti nekretnina</w:t>
      </w:r>
      <w:r>
        <w:rPr>
          <w:rFonts w:ascii="Calibri" w:eastAsia="Times New Roman" w:hAnsi="Calibri" w:cs="Calibri"/>
          <w:lang w:eastAsia="hr-HR"/>
        </w:rPr>
        <w:t xml:space="preserve"> </w:t>
      </w:r>
      <w:r w:rsidRPr="00B9451D">
        <w:rPr>
          <w:rFonts w:ascii="Calibri" w:eastAsia="Times New Roman" w:hAnsi="Calibri" w:cs="Calibri"/>
          <w:lang w:eastAsia="hr-HR"/>
        </w:rPr>
        <w:t xml:space="preserve">(„Narodne novine“ broj </w:t>
      </w:r>
      <w:hyperlink r:id="rId6" w:history="1">
        <w:r w:rsidRPr="00B9451D">
          <w:rPr>
            <w:rFonts w:ascii="Calibri" w:eastAsia="Times New Roman" w:hAnsi="Calibri" w:cs="Calibri"/>
            <w:u w:val="single"/>
            <w:lang w:eastAsia="hr-HR"/>
          </w:rPr>
          <w:t>78/15</w:t>
        </w:r>
      </w:hyperlink>
      <w:r>
        <w:rPr>
          <w:rFonts w:ascii="Calibri" w:eastAsia="Times New Roman" w:hAnsi="Calibri" w:cs="Calibri"/>
          <w:lang w:eastAsia="hr-HR"/>
        </w:rPr>
        <w:t xml:space="preserve">), a </w:t>
      </w:r>
      <w:r w:rsidRPr="00765C62">
        <w:rPr>
          <w:rFonts w:ascii="Calibri" w:eastAsia="Times New Roman" w:hAnsi="Calibri" w:cs="Calibri"/>
          <w:lang w:eastAsia="hr-HR"/>
        </w:rPr>
        <w:t xml:space="preserve">odnose </w:t>
      </w:r>
      <w:r>
        <w:rPr>
          <w:rFonts w:ascii="Calibri" w:eastAsia="Times New Roman" w:hAnsi="Calibri" w:cs="Calibri"/>
          <w:lang w:eastAsia="hr-HR"/>
        </w:rPr>
        <w:t xml:space="preserve">se </w:t>
      </w:r>
      <w:r w:rsidRPr="00765C62">
        <w:rPr>
          <w:rFonts w:ascii="Calibri" w:eastAsia="Times New Roman" w:hAnsi="Calibri" w:cs="Calibri"/>
          <w:lang w:eastAsia="hr-HR"/>
        </w:rPr>
        <w:t>na vođenje baze podataka prodaje i najma nekretnina, (stanova, kuća, poljoprivrednog zemljišta, šumskog zemljišta i dr.), izdavanja izvadaka iz baze prikupljenih podataka procjeniteljima koji izrađuju elaborate vrijednosti nekretnina, vođenje poslova za Procjeniteljsko povjerenstvo koje daje suglasnosti na elaborate, bez kojih se nekretnine ne smiju prodavati, osobito ako se radi o kupoprodaji nekretnina u vlasništvu ili za koristi jedinica lokalne i regionalne samouprave, te trgovačkih društava u vlasništvu JL(R)S-a i javno-pravnih tijela.</w:t>
      </w:r>
    </w:p>
    <w:p w14:paraId="3DDC9DA6" w14:textId="083D915B" w:rsidR="00B9451D" w:rsidRDefault="00B9451D" w:rsidP="00C85154">
      <w:pPr>
        <w:spacing w:after="0" w:line="240" w:lineRule="auto"/>
        <w:ind w:firstLine="708"/>
        <w:jc w:val="both"/>
        <w:rPr>
          <w:rFonts w:ascii="Calibri" w:eastAsia="Lucida Sans Unicode" w:hAnsi="Calibri" w:cs="Calibri"/>
          <w:kern w:val="2"/>
          <w:shd w:val="clear" w:color="auto" w:fill="FFFFFF"/>
        </w:rPr>
      </w:pPr>
      <w:r w:rsidRPr="00B9451D">
        <w:rPr>
          <w:rFonts w:ascii="Calibri" w:eastAsia="Times New Roman" w:hAnsi="Calibri" w:cs="Calibri"/>
          <w:kern w:val="2"/>
          <w:shd w:val="clear" w:color="auto" w:fill="FFFFFF"/>
        </w:rPr>
        <w:t xml:space="preserve">Poslovi </w:t>
      </w:r>
      <w:r w:rsidRPr="00B9451D">
        <w:rPr>
          <w:rFonts w:ascii="Calibri" w:eastAsia="Lucida Sans Unicode" w:hAnsi="Calibri" w:cs="Calibri"/>
          <w:kern w:val="2"/>
          <w:shd w:val="clear" w:color="auto" w:fill="FFFFFF"/>
        </w:rPr>
        <w:t xml:space="preserve">Upravnog odjela obuhvaćaju koordinaciju i praćenje rada proračunskog korisnika: Zavoda za prostorno uređenje Sisačko- moslavačke županije, sukladno zakonskoj regulativi, Odluci o osnivanju, statutu Zavoda, programu rada i dr.  </w:t>
      </w:r>
    </w:p>
    <w:p w14:paraId="221490F8" w14:textId="24DD767E" w:rsidR="00C85154" w:rsidRPr="00B9451D" w:rsidRDefault="00266CFE" w:rsidP="00B9451D">
      <w:pPr>
        <w:spacing w:after="0" w:line="240" w:lineRule="auto"/>
        <w:jc w:val="both"/>
        <w:rPr>
          <w:rFonts w:ascii="Calibri" w:eastAsia="Times New Roman" w:hAnsi="Calibri" w:cs="Calibri"/>
          <w:b/>
          <w:bCs/>
          <w:u w:val="single"/>
        </w:rPr>
      </w:pPr>
      <w:r w:rsidRPr="00266CFE">
        <w:rPr>
          <w:rFonts w:ascii="Calibri" w:eastAsia="Times New Roman" w:hAnsi="Calibri" w:cs="Calibri"/>
          <w:b/>
          <w:bCs/>
          <w:u w:val="single"/>
        </w:rPr>
        <w:lastRenderedPageBreak/>
        <w:t>IMOVINSKO PRAVNI POSLOVI, STAMBENO ZBRINJAVANJE I OBNOVA</w:t>
      </w:r>
    </w:p>
    <w:p w14:paraId="72E5782E" w14:textId="492C1D64" w:rsidR="00E64964" w:rsidRDefault="00B9451D" w:rsidP="00B9451D">
      <w:pPr>
        <w:spacing w:after="0" w:line="240" w:lineRule="auto"/>
        <w:jc w:val="both"/>
        <w:rPr>
          <w:rFonts w:ascii="Calibri" w:eastAsia="Times New Roman" w:hAnsi="Calibri" w:cs="Calibri"/>
          <w:lang w:val="en-GB"/>
        </w:rPr>
      </w:pPr>
      <w:r w:rsidRPr="00B9451D">
        <w:rPr>
          <w:rFonts w:ascii="Calibri" w:eastAsia="Times New Roman" w:hAnsi="Calibri" w:cs="Calibri"/>
          <w:lang w:eastAsia="hr-HR"/>
        </w:rPr>
        <w:t xml:space="preserve">          Poslovi koje obavlja Odsjek  za imovinsko-pravne poslove, stambeno-zbrinjavanje i obnovu se odnose na utvrđivanje prava na naknadu za imovinu oduzetu za vrijeme jugoslavenske komunističke vladavine, izdavanje uvjerenje o pokrenutim postupcima naknade, izvlaštenje nekretnine (potpuno ili djelomično), osiguranje dokaza o stanju i vrijednosti nekretnine za koju se predlaže izvlaštenje, davanje odobrenja korisniku izvlaštenja za obavljanje pripremnih radnji, donošenje privremenog rješenja, stupanje u posjed izvlaštene nekretnine u tijeku postupka izvlaštenja, određivanje naknade za izvlaštenje nekretnine i sklapanje nagodbi, rješavanje pitanja obnove i potpore za popravak ratom oštećenog i uništenog objekta kao i povrata vlastitih uloženih sredstava za obnovu, rješavanje o statusnim pitanjima izbjeglica, prognanika i povratnika, te pravo na stambeno zbrinjavanje i sl. Poslovi i način obavljanja istih propisani su </w:t>
      </w:r>
      <w:proofErr w:type="spellStart"/>
      <w:r w:rsidRPr="00B9451D">
        <w:rPr>
          <w:rFonts w:ascii="Calibri" w:eastAsia="Times New Roman" w:hAnsi="Calibri" w:cs="Calibri"/>
          <w:b/>
          <w:bCs/>
          <w:lang w:val="en-GB"/>
        </w:rPr>
        <w:t>Zakonom</w:t>
      </w:r>
      <w:proofErr w:type="spellEnd"/>
      <w:r w:rsidRPr="00B9451D">
        <w:rPr>
          <w:rFonts w:ascii="Calibri" w:eastAsia="Times New Roman" w:hAnsi="Calibri" w:cs="Calibri"/>
          <w:b/>
          <w:bCs/>
          <w:lang w:val="en-GB"/>
        </w:rPr>
        <w:t xml:space="preserve"> o </w:t>
      </w:r>
      <w:proofErr w:type="spellStart"/>
      <w:r w:rsidRPr="00B9451D">
        <w:rPr>
          <w:rFonts w:ascii="Calibri" w:eastAsia="Times New Roman" w:hAnsi="Calibri" w:cs="Calibri"/>
          <w:b/>
          <w:bCs/>
          <w:lang w:val="en-GB"/>
        </w:rPr>
        <w:t>izvlaštenju</w:t>
      </w:r>
      <w:proofErr w:type="spellEnd"/>
      <w:r w:rsidRPr="00B9451D">
        <w:rPr>
          <w:rFonts w:ascii="Calibri" w:eastAsia="Times New Roman" w:hAnsi="Calibri" w:cs="Calibri"/>
          <w:b/>
          <w:bCs/>
          <w:lang w:val="en-GB"/>
        </w:rPr>
        <w:t xml:space="preserve"> </w:t>
      </w:r>
      <w:proofErr w:type="spellStart"/>
      <w:r w:rsidRPr="00B9451D">
        <w:rPr>
          <w:rFonts w:ascii="Calibri" w:eastAsia="Times New Roman" w:hAnsi="Calibri" w:cs="Calibri"/>
          <w:b/>
          <w:bCs/>
          <w:lang w:val="en-GB"/>
        </w:rPr>
        <w:t>i</w:t>
      </w:r>
      <w:proofErr w:type="spellEnd"/>
      <w:r w:rsidRPr="00B9451D">
        <w:rPr>
          <w:rFonts w:ascii="Calibri" w:eastAsia="Times New Roman" w:hAnsi="Calibri" w:cs="Calibri"/>
          <w:b/>
          <w:bCs/>
          <w:lang w:val="en-GB"/>
        </w:rPr>
        <w:t xml:space="preserve"> </w:t>
      </w:r>
      <w:proofErr w:type="spellStart"/>
      <w:r w:rsidRPr="00B9451D">
        <w:rPr>
          <w:rFonts w:ascii="Calibri" w:eastAsia="Times New Roman" w:hAnsi="Calibri" w:cs="Calibri"/>
          <w:b/>
          <w:bCs/>
          <w:lang w:val="en-GB"/>
        </w:rPr>
        <w:t>određivanju</w:t>
      </w:r>
      <w:proofErr w:type="spellEnd"/>
      <w:r w:rsidRPr="00B9451D">
        <w:rPr>
          <w:rFonts w:ascii="Calibri" w:eastAsia="Times New Roman" w:hAnsi="Calibri" w:cs="Calibri"/>
          <w:b/>
          <w:bCs/>
          <w:lang w:val="en-GB"/>
        </w:rPr>
        <w:t xml:space="preserve"> </w:t>
      </w:r>
      <w:proofErr w:type="spellStart"/>
      <w:r w:rsidRPr="00B9451D">
        <w:rPr>
          <w:rFonts w:ascii="Calibri" w:eastAsia="Times New Roman" w:hAnsi="Calibri" w:cs="Calibri"/>
          <w:b/>
          <w:bCs/>
          <w:lang w:val="en-GB"/>
        </w:rPr>
        <w:t>naknade</w:t>
      </w:r>
      <w:proofErr w:type="spellEnd"/>
      <w:r w:rsidRPr="00B9451D">
        <w:rPr>
          <w:rFonts w:ascii="Calibri" w:eastAsia="Times New Roman" w:hAnsi="Calibri" w:cs="Calibri"/>
          <w:b/>
          <w:bCs/>
          <w:lang w:val="en-GB"/>
        </w:rPr>
        <w:t xml:space="preserve"> </w:t>
      </w:r>
      <w:r w:rsidRPr="00B9451D">
        <w:rPr>
          <w:rFonts w:ascii="Calibri" w:eastAsia="Times New Roman" w:hAnsi="Calibri" w:cs="Calibri"/>
          <w:lang w:val="en-GB"/>
        </w:rPr>
        <w:t>(“</w:t>
      </w:r>
      <w:proofErr w:type="spellStart"/>
      <w:r w:rsidRPr="00B9451D">
        <w:rPr>
          <w:rFonts w:ascii="Calibri" w:eastAsia="Times New Roman" w:hAnsi="Calibri" w:cs="Calibri"/>
          <w:lang w:val="en-GB"/>
        </w:rPr>
        <w:t>Narodne</w:t>
      </w:r>
      <w:proofErr w:type="spellEnd"/>
      <w:r w:rsidRPr="00B9451D">
        <w:rPr>
          <w:rFonts w:ascii="Calibri" w:eastAsia="Times New Roman" w:hAnsi="Calibri" w:cs="Calibri"/>
          <w:lang w:val="en-GB"/>
        </w:rPr>
        <w:t xml:space="preserve"> novine” </w:t>
      </w:r>
      <w:proofErr w:type="spellStart"/>
      <w:r w:rsidRPr="00B9451D">
        <w:rPr>
          <w:rFonts w:ascii="Calibri" w:eastAsia="Times New Roman" w:hAnsi="Calibri" w:cs="Calibri"/>
          <w:lang w:val="en-GB"/>
        </w:rPr>
        <w:t>broj</w:t>
      </w:r>
      <w:proofErr w:type="spellEnd"/>
      <w:r w:rsidRPr="00B9451D">
        <w:rPr>
          <w:rFonts w:ascii="Calibri" w:eastAsia="Times New Roman" w:hAnsi="Calibri" w:cs="Calibri"/>
          <w:lang w:val="en-GB"/>
        </w:rPr>
        <w:t xml:space="preserve"> 74/14, 69/17 </w:t>
      </w:r>
      <w:proofErr w:type="spellStart"/>
      <w:r w:rsidRPr="00B9451D">
        <w:rPr>
          <w:rFonts w:ascii="Calibri" w:eastAsia="Times New Roman" w:hAnsi="Calibri" w:cs="Calibri"/>
          <w:lang w:val="en-GB"/>
        </w:rPr>
        <w:t>i</w:t>
      </w:r>
      <w:proofErr w:type="spellEnd"/>
      <w:r w:rsidRPr="00B9451D">
        <w:rPr>
          <w:rFonts w:ascii="Calibri" w:eastAsia="Times New Roman" w:hAnsi="Calibri" w:cs="Calibri"/>
          <w:lang w:val="en-GB"/>
        </w:rPr>
        <w:t xml:space="preserve"> 98/19)</w:t>
      </w:r>
      <w:r w:rsidRPr="00B9451D">
        <w:rPr>
          <w:rFonts w:ascii="Calibri" w:eastAsia="Times New Roman" w:hAnsi="Calibri" w:cs="Calibri"/>
          <w:b/>
          <w:bCs/>
          <w:lang w:val="en-GB"/>
        </w:rPr>
        <w:t xml:space="preserve"> </w:t>
      </w:r>
      <w:proofErr w:type="spellStart"/>
      <w:r w:rsidRPr="00B9451D">
        <w:rPr>
          <w:rFonts w:ascii="Calibri" w:eastAsia="Times New Roman" w:hAnsi="Calibri" w:cs="Calibri"/>
          <w:b/>
          <w:bCs/>
          <w:lang w:val="en-GB"/>
        </w:rPr>
        <w:t>i</w:t>
      </w:r>
      <w:proofErr w:type="spellEnd"/>
      <w:r w:rsidRPr="00B9451D">
        <w:rPr>
          <w:rFonts w:ascii="Calibri" w:eastAsia="Times New Roman" w:hAnsi="Calibri" w:cs="Calibri"/>
          <w:b/>
          <w:bCs/>
          <w:lang w:val="en-GB"/>
        </w:rPr>
        <w:t xml:space="preserve"> </w:t>
      </w:r>
      <w:proofErr w:type="spellStart"/>
      <w:r w:rsidRPr="00B9451D">
        <w:rPr>
          <w:rFonts w:ascii="Calibri" w:eastAsia="Times New Roman" w:hAnsi="Calibri" w:cs="Calibri"/>
          <w:b/>
          <w:bCs/>
          <w:lang w:val="en-GB"/>
        </w:rPr>
        <w:t>Zakonom</w:t>
      </w:r>
      <w:proofErr w:type="spellEnd"/>
      <w:r w:rsidRPr="00B9451D">
        <w:rPr>
          <w:rFonts w:ascii="Calibri" w:eastAsia="Times New Roman" w:hAnsi="Calibri" w:cs="Calibri"/>
          <w:b/>
          <w:bCs/>
          <w:lang w:val="en-GB"/>
        </w:rPr>
        <w:t xml:space="preserve"> o </w:t>
      </w:r>
      <w:proofErr w:type="spellStart"/>
      <w:r w:rsidRPr="00B9451D">
        <w:rPr>
          <w:rFonts w:ascii="Calibri" w:eastAsia="Times New Roman" w:hAnsi="Calibri" w:cs="Calibri"/>
          <w:b/>
          <w:bCs/>
          <w:lang w:val="en-GB"/>
        </w:rPr>
        <w:t>izvlaštenju</w:t>
      </w:r>
      <w:proofErr w:type="spellEnd"/>
      <w:r w:rsidRPr="00B9451D">
        <w:rPr>
          <w:rFonts w:ascii="Calibri" w:eastAsia="Times New Roman" w:hAnsi="Calibri" w:cs="Calibri"/>
          <w:b/>
          <w:bCs/>
          <w:lang w:val="en-GB"/>
        </w:rPr>
        <w:t xml:space="preserve"> </w:t>
      </w:r>
      <w:r w:rsidRPr="00B9451D">
        <w:rPr>
          <w:rFonts w:ascii="Calibri" w:eastAsia="Times New Roman" w:hAnsi="Calibri" w:cs="Calibri"/>
          <w:lang w:val="en-GB"/>
        </w:rPr>
        <w:t>(“</w:t>
      </w:r>
      <w:proofErr w:type="spellStart"/>
      <w:r w:rsidRPr="00B9451D">
        <w:rPr>
          <w:rFonts w:ascii="Calibri" w:eastAsia="Times New Roman" w:hAnsi="Calibri" w:cs="Calibri"/>
          <w:lang w:val="en-GB"/>
        </w:rPr>
        <w:t>Narodne</w:t>
      </w:r>
      <w:proofErr w:type="spellEnd"/>
      <w:r w:rsidRPr="00B9451D">
        <w:rPr>
          <w:rFonts w:ascii="Calibri" w:eastAsia="Times New Roman" w:hAnsi="Calibri" w:cs="Calibri"/>
          <w:lang w:val="en-GB"/>
        </w:rPr>
        <w:t xml:space="preserve"> novine” </w:t>
      </w:r>
      <w:proofErr w:type="spellStart"/>
      <w:r w:rsidRPr="00B9451D">
        <w:rPr>
          <w:rFonts w:ascii="Calibri" w:eastAsia="Times New Roman" w:hAnsi="Calibri" w:cs="Calibri"/>
          <w:lang w:val="en-GB"/>
        </w:rPr>
        <w:t>broj</w:t>
      </w:r>
      <w:proofErr w:type="spellEnd"/>
      <w:r w:rsidRPr="00B9451D">
        <w:rPr>
          <w:rFonts w:ascii="Calibri" w:eastAsia="Times New Roman" w:hAnsi="Calibri" w:cs="Calibri"/>
          <w:lang w:val="en-GB"/>
        </w:rPr>
        <w:t xml:space="preserve"> 9/94, 35/94-isp., 112/00, 114/01, 79/06, 45/11 </w:t>
      </w:r>
      <w:proofErr w:type="spellStart"/>
      <w:r w:rsidRPr="00B9451D">
        <w:rPr>
          <w:rFonts w:ascii="Calibri" w:eastAsia="Times New Roman" w:hAnsi="Calibri" w:cs="Calibri"/>
          <w:lang w:val="en-GB"/>
        </w:rPr>
        <w:t>i</w:t>
      </w:r>
      <w:proofErr w:type="spellEnd"/>
      <w:r w:rsidRPr="00B9451D">
        <w:rPr>
          <w:rFonts w:ascii="Calibri" w:eastAsia="Times New Roman" w:hAnsi="Calibri" w:cs="Calibri"/>
          <w:lang w:val="en-GB"/>
        </w:rPr>
        <w:t xml:space="preserve"> 34/12-završetak za </w:t>
      </w:r>
      <w:proofErr w:type="spellStart"/>
      <w:r w:rsidRPr="00B9451D">
        <w:rPr>
          <w:rFonts w:ascii="Calibri" w:eastAsia="Times New Roman" w:hAnsi="Calibri" w:cs="Calibri"/>
          <w:lang w:val="en-GB"/>
        </w:rPr>
        <w:t>pokrenute</w:t>
      </w:r>
      <w:proofErr w:type="spellEnd"/>
      <w:r w:rsidRPr="00B9451D">
        <w:rPr>
          <w:rFonts w:ascii="Calibri" w:eastAsia="Times New Roman" w:hAnsi="Calibri" w:cs="Calibri"/>
          <w:lang w:val="en-GB"/>
        </w:rPr>
        <w:t xml:space="preserve"> </w:t>
      </w:r>
      <w:proofErr w:type="spellStart"/>
      <w:r w:rsidRPr="00B9451D">
        <w:rPr>
          <w:rFonts w:ascii="Calibri" w:eastAsia="Times New Roman" w:hAnsi="Calibri" w:cs="Calibri"/>
          <w:lang w:val="en-GB"/>
        </w:rPr>
        <w:t>postupke</w:t>
      </w:r>
      <w:proofErr w:type="spellEnd"/>
      <w:r w:rsidRPr="00B9451D">
        <w:rPr>
          <w:rFonts w:ascii="Calibri" w:eastAsia="Times New Roman" w:hAnsi="Calibri" w:cs="Calibri"/>
          <w:lang w:val="en-GB"/>
        </w:rPr>
        <w:t xml:space="preserve">), </w:t>
      </w:r>
      <w:r w:rsidRPr="00B9451D">
        <w:rPr>
          <w:rFonts w:ascii="Calibri" w:eastAsia="Times New Roman" w:hAnsi="Calibri" w:cs="Calibri"/>
          <w:b/>
          <w:bCs/>
          <w:lang w:val="en-GB"/>
        </w:rPr>
        <w:t xml:space="preserve"> </w:t>
      </w:r>
      <w:proofErr w:type="spellStart"/>
      <w:r w:rsidRPr="00B9451D">
        <w:rPr>
          <w:rFonts w:ascii="Calibri" w:eastAsia="Times New Roman" w:hAnsi="Calibri" w:cs="Calibri"/>
          <w:b/>
          <w:bCs/>
          <w:lang w:val="en-GB"/>
        </w:rPr>
        <w:t>Zakonom</w:t>
      </w:r>
      <w:proofErr w:type="spellEnd"/>
      <w:r w:rsidRPr="00B9451D">
        <w:rPr>
          <w:rFonts w:ascii="Calibri" w:eastAsia="Times New Roman" w:hAnsi="Calibri" w:cs="Calibri"/>
          <w:b/>
          <w:bCs/>
          <w:lang w:val="en-GB"/>
        </w:rPr>
        <w:t xml:space="preserve"> o </w:t>
      </w:r>
      <w:proofErr w:type="spellStart"/>
      <w:r w:rsidRPr="00B9451D">
        <w:rPr>
          <w:rFonts w:ascii="Calibri" w:eastAsia="Times New Roman" w:hAnsi="Calibri" w:cs="Calibri"/>
          <w:b/>
          <w:bCs/>
          <w:lang w:val="en-GB"/>
        </w:rPr>
        <w:t>naknadi</w:t>
      </w:r>
      <w:proofErr w:type="spellEnd"/>
      <w:r w:rsidRPr="00B9451D">
        <w:rPr>
          <w:rFonts w:ascii="Calibri" w:eastAsia="Times New Roman" w:hAnsi="Calibri" w:cs="Calibri"/>
          <w:b/>
          <w:bCs/>
          <w:lang w:val="en-GB"/>
        </w:rPr>
        <w:t xml:space="preserve"> za </w:t>
      </w:r>
      <w:proofErr w:type="spellStart"/>
      <w:r w:rsidRPr="00B9451D">
        <w:rPr>
          <w:rFonts w:ascii="Calibri" w:eastAsia="Times New Roman" w:hAnsi="Calibri" w:cs="Calibri"/>
          <w:b/>
          <w:bCs/>
          <w:lang w:val="en-GB"/>
        </w:rPr>
        <w:t>imovinu</w:t>
      </w:r>
      <w:proofErr w:type="spellEnd"/>
      <w:r w:rsidRPr="00B9451D">
        <w:rPr>
          <w:rFonts w:ascii="Calibri" w:eastAsia="Times New Roman" w:hAnsi="Calibri" w:cs="Calibri"/>
          <w:b/>
          <w:bCs/>
          <w:lang w:val="en-GB"/>
        </w:rPr>
        <w:t xml:space="preserve"> </w:t>
      </w:r>
      <w:proofErr w:type="spellStart"/>
      <w:r w:rsidRPr="00B9451D">
        <w:rPr>
          <w:rFonts w:ascii="Calibri" w:eastAsia="Times New Roman" w:hAnsi="Calibri" w:cs="Calibri"/>
          <w:b/>
          <w:bCs/>
          <w:lang w:val="en-GB"/>
        </w:rPr>
        <w:t>oduzetu</w:t>
      </w:r>
      <w:proofErr w:type="spellEnd"/>
      <w:r w:rsidRPr="00B9451D">
        <w:rPr>
          <w:rFonts w:ascii="Calibri" w:eastAsia="Times New Roman" w:hAnsi="Calibri" w:cs="Calibri"/>
          <w:b/>
          <w:bCs/>
          <w:lang w:val="en-GB"/>
        </w:rPr>
        <w:t xml:space="preserve"> za </w:t>
      </w:r>
      <w:proofErr w:type="spellStart"/>
      <w:r w:rsidRPr="00B9451D">
        <w:rPr>
          <w:rFonts w:ascii="Calibri" w:eastAsia="Times New Roman" w:hAnsi="Calibri" w:cs="Calibri"/>
          <w:b/>
          <w:bCs/>
          <w:lang w:val="en-GB"/>
        </w:rPr>
        <w:t>vrijeme</w:t>
      </w:r>
      <w:proofErr w:type="spellEnd"/>
      <w:r w:rsidRPr="00B9451D">
        <w:rPr>
          <w:rFonts w:ascii="Calibri" w:eastAsia="Times New Roman" w:hAnsi="Calibri" w:cs="Calibri"/>
          <w:b/>
          <w:bCs/>
          <w:lang w:val="en-GB"/>
        </w:rPr>
        <w:t xml:space="preserve"> </w:t>
      </w:r>
      <w:proofErr w:type="spellStart"/>
      <w:r w:rsidRPr="00B9451D">
        <w:rPr>
          <w:rFonts w:ascii="Calibri" w:eastAsia="Times New Roman" w:hAnsi="Calibri" w:cs="Calibri"/>
          <w:b/>
          <w:bCs/>
          <w:lang w:val="en-GB"/>
        </w:rPr>
        <w:t>jugoslavenske</w:t>
      </w:r>
      <w:proofErr w:type="spellEnd"/>
      <w:r w:rsidRPr="00B9451D">
        <w:rPr>
          <w:rFonts w:ascii="Calibri" w:eastAsia="Times New Roman" w:hAnsi="Calibri" w:cs="Calibri"/>
          <w:b/>
          <w:bCs/>
          <w:lang w:val="en-GB"/>
        </w:rPr>
        <w:t xml:space="preserve"> </w:t>
      </w:r>
      <w:proofErr w:type="spellStart"/>
      <w:r w:rsidRPr="00B9451D">
        <w:rPr>
          <w:rFonts w:ascii="Calibri" w:eastAsia="Times New Roman" w:hAnsi="Calibri" w:cs="Calibri"/>
          <w:b/>
          <w:bCs/>
          <w:lang w:val="en-GB"/>
        </w:rPr>
        <w:t>komunističke</w:t>
      </w:r>
      <w:proofErr w:type="spellEnd"/>
      <w:r w:rsidRPr="00B9451D">
        <w:rPr>
          <w:rFonts w:ascii="Calibri" w:eastAsia="Times New Roman" w:hAnsi="Calibri" w:cs="Calibri"/>
          <w:b/>
          <w:bCs/>
          <w:lang w:val="en-GB"/>
        </w:rPr>
        <w:t xml:space="preserve"> </w:t>
      </w:r>
      <w:proofErr w:type="spellStart"/>
      <w:r w:rsidRPr="00B9451D">
        <w:rPr>
          <w:rFonts w:ascii="Calibri" w:eastAsia="Times New Roman" w:hAnsi="Calibri" w:cs="Calibri"/>
          <w:b/>
          <w:bCs/>
          <w:lang w:val="en-GB"/>
        </w:rPr>
        <w:t>vladavine</w:t>
      </w:r>
      <w:proofErr w:type="spellEnd"/>
      <w:r w:rsidRPr="00B9451D">
        <w:rPr>
          <w:rFonts w:ascii="Calibri" w:eastAsia="Times New Roman" w:hAnsi="Calibri" w:cs="Calibri"/>
          <w:b/>
          <w:bCs/>
          <w:lang w:val="en-GB"/>
        </w:rPr>
        <w:t xml:space="preserve"> </w:t>
      </w:r>
      <w:r w:rsidRPr="00B9451D">
        <w:rPr>
          <w:rFonts w:ascii="Calibri" w:eastAsia="Times New Roman" w:hAnsi="Calibri" w:cs="Calibri"/>
          <w:lang w:val="en-GB"/>
        </w:rPr>
        <w:t>(“</w:t>
      </w:r>
      <w:proofErr w:type="spellStart"/>
      <w:r w:rsidRPr="00B9451D">
        <w:rPr>
          <w:rFonts w:ascii="Calibri" w:eastAsia="Times New Roman" w:hAnsi="Calibri" w:cs="Calibri"/>
          <w:lang w:val="en-GB"/>
        </w:rPr>
        <w:t>Narodne</w:t>
      </w:r>
      <w:proofErr w:type="spellEnd"/>
      <w:r w:rsidRPr="00B9451D">
        <w:rPr>
          <w:rFonts w:ascii="Calibri" w:eastAsia="Times New Roman" w:hAnsi="Calibri" w:cs="Calibri"/>
          <w:lang w:val="en-GB"/>
        </w:rPr>
        <w:t xml:space="preserve"> novine” </w:t>
      </w:r>
      <w:proofErr w:type="spellStart"/>
      <w:r w:rsidRPr="00B9451D">
        <w:rPr>
          <w:rFonts w:ascii="Calibri" w:eastAsia="Times New Roman" w:hAnsi="Calibri" w:cs="Calibri"/>
          <w:lang w:val="en-GB"/>
        </w:rPr>
        <w:t>broj</w:t>
      </w:r>
      <w:proofErr w:type="spellEnd"/>
      <w:r w:rsidRPr="00B9451D">
        <w:rPr>
          <w:rFonts w:ascii="Calibri" w:eastAsia="Times New Roman" w:hAnsi="Calibri" w:cs="Calibri"/>
          <w:lang w:val="en-GB"/>
        </w:rPr>
        <w:t xml:space="preserve"> 92/96, 39/99,42/99, 92/99, 43/00, 131/00, 27/01, 34/01, 65/01, 118/01, 80/02, 81/02 </w:t>
      </w:r>
      <w:proofErr w:type="spellStart"/>
      <w:r w:rsidRPr="00B9451D">
        <w:rPr>
          <w:rFonts w:ascii="Calibri" w:eastAsia="Times New Roman" w:hAnsi="Calibri" w:cs="Calibri"/>
          <w:lang w:val="en-GB"/>
        </w:rPr>
        <w:t>i</w:t>
      </w:r>
      <w:proofErr w:type="spellEnd"/>
      <w:r w:rsidRPr="00B9451D">
        <w:rPr>
          <w:rFonts w:ascii="Calibri" w:eastAsia="Times New Roman" w:hAnsi="Calibri" w:cs="Calibri"/>
          <w:lang w:val="en-GB"/>
        </w:rPr>
        <w:t xml:space="preserve"> 98/19), </w:t>
      </w:r>
      <w:proofErr w:type="spellStart"/>
      <w:r w:rsidRPr="00B9451D">
        <w:rPr>
          <w:rFonts w:ascii="Calibri" w:eastAsia="Times New Roman" w:hAnsi="Calibri" w:cs="Calibri"/>
          <w:b/>
          <w:bCs/>
          <w:lang w:val="en-GB"/>
        </w:rPr>
        <w:t>Zakonom</w:t>
      </w:r>
      <w:proofErr w:type="spellEnd"/>
      <w:r w:rsidRPr="00B9451D">
        <w:rPr>
          <w:rFonts w:ascii="Calibri" w:eastAsia="Times New Roman" w:hAnsi="Calibri" w:cs="Calibri"/>
          <w:b/>
          <w:bCs/>
          <w:lang w:val="en-GB"/>
        </w:rPr>
        <w:t xml:space="preserve"> o </w:t>
      </w:r>
      <w:proofErr w:type="spellStart"/>
      <w:r w:rsidRPr="00B9451D">
        <w:rPr>
          <w:rFonts w:ascii="Calibri" w:eastAsia="Times New Roman" w:hAnsi="Calibri" w:cs="Calibri"/>
          <w:b/>
          <w:bCs/>
          <w:lang w:val="en-GB"/>
        </w:rPr>
        <w:t>stambenom</w:t>
      </w:r>
      <w:proofErr w:type="spellEnd"/>
      <w:r w:rsidRPr="00B9451D">
        <w:rPr>
          <w:rFonts w:ascii="Calibri" w:eastAsia="Times New Roman" w:hAnsi="Calibri" w:cs="Calibri"/>
          <w:b/>
          <w:bCs/>
          <w:lang w:val="en-GB"/>
        </w:rPr>
        <w:t xml:space="preserve"> </w:t>
      </w:r>
      <w:proofErr w:type="spellStart"/>
      <w:r w:rsidRPr="00B9451D">
        <w:rPr>
          <w:rFonts w:ascii="Calibri" w:eastAsia="Times New Roman" w:hAnsi="Calibri" w:cs="Calibri"/>
          <w:b/>
          <w:bCs/>
          <w:lang w:val="en-GB"/>
        </w:rPr>
        <w:t>zbrinjavanju</w:t>
      </w:r>
      <w:proofErr w:type="spellEnd"/>
      <w:r w:rsidRPr="00B9451D">
        <w:rPr>
          <w:rFonts w:ascii="Calibri" w:eastAsia="Times New Roman" w:hAnsi="Calibri" w:cs="Calibri"/>
          <w:b/>
          <w:bCs/>
          <w:lang w:val="en-GB"/>
        </w:rPr>
        <w:t xml:space="preserve"> </w:t>
      </w:r>
      <w:proofErr w:type="spellStart"/>
      <w:r w:rsidRPr="00B9451D">
        <w:rPr>
          <w:rFonts w:ascii="Calibri" w:eastAsia="Times New Roman" w:hAnsi="Calibri" w:cs="Calibri"/>
          <w:b/>
          <w:bCs/>
          <w:lang w:val="en-GB"/>
        </w:rPr>
        <w:t>na</w:t>
      </w:r>
      <w:proofErr w:type="spellEnd"/>
      <w:r w:rsidRPr="00B9451D">
        <w:rPr>
          <w:rFonts w:ascii="Calibri" w:eastAsia="Times New Roman" w:hAnsi="Calibri" w:cs="Calibri"/>
          <w:b/>
          <w:bCs/>
          <w:lang w:val="en-GB"/>
        </w:rPr>
        <w:t xml:space="preserve"> </w:t>
      </w:r>
      <w:proofErr w:type="spellStart"/>
      <w:r w:rsidRPr="00B9451D">
        <w:rPr>
          <w:rFonts w:ascii="Calibri" w:eastAsia="Times New Roman" w:hAnsi="Calibri" w:cs="Calibri"/>
          <w:b/>
          <w:bCs/>
          <w:lang w:val="en-GB"/>
        </w:rPr>
        <w:t>potpomognutim</w:t>
      </w:r>
      <w:proofErr w:type="spellEnd"/>
      <w:r w:rsidRPr="00B9451D">
        <w:rPr>
          <w:rFonts w:ascii="Calibri" w:eastAsia="Times New Roman" w:hAnsi="Calibri" w:cs="Calibri"/>
          <w:b/>
          <w:bCs/>
          <w:lang w:val="en-GB"/>
        </w:rPr>
        <w:t xml:space="preserve"> </w:t>
      </w:r>
      <w:proofErr w:type="spellStart"/>
      <w:r w:rsidRPr="00B9451D">
        <w:rPr>
          <w:rFonts w:ascii="Calibri" w:eastAsia="Times New Roman" w:hAnsi="Calibri" w:cs="Calibri"/>
          <w:b/>
          <w:bCs/>
          <w:lang w:val="en-GB"/>
        </w:rPr>
        <w:t>područjima</w:t>
      </w:r>
      <w:proofErr w:type="spellEnd"/>
      <w:r w:rsidRPr="00B9451D">
        <w:rPr>
          <w:rFonts w:ascii="Calibri" w:eastAsia="Times New Roman" w:hAnsi="Calibri" w:cs="Calibri"/>
          <w:b/>
          <w:bCs/>
          <w:lang w:val="en-GB"/>
        </w:rPr>
        <w:t xml:space="preserve"> </w:t>
      </w:r>
      <w:r w:rsidRPr="00B9451D">
        <w:rPr>
          <w:rFonts w:ascii="Calibri" w:eastAsia="Times New Roman" w:hAnsi="Calibri" w:cs="Calibri"/>
          <w:lang w:val="en-GB"/>
        </w:rPr>
        <w:t>(“</w:t>
      </w:r>
      <w:proofErr w:type="spellStart"/>
      <w:r w:rsidRPr="00B9451D">
        <w:rPr>
          <w:rFonts w:ascii="Calibri" w:eastAsia="Times New Roman" w:hAnsi="Calibri" w:cs="Calibri"/>
          <w:lang w:val="en-GB"/>
        </w:rPr>
        <w:t>Narodne</w:t>
      </w:r>
      <w:proofErr w:type="spellEnd"/>
      <w:r w:rsidRPr="00B9451D">
        <w:rPr>
          <w:rFonts w:ascii="Calibri" w:eastAsia="Times New Roman" w:hAnsi="Calibri" w:cs="Calibri"/>
          <w:lang w:val="en-GB"/>
        </w:rPr>
        <w:t xml:space="preserve"> novine” </w:t>
      </w:r>
      <w:proofErr w:type="spellStart"/>
      <w:r w:rsidRPr="00B9451D">
        <w:rPr>
          <w:rFonts w:ascii="Calibri" w:eastAsia="Times New Roman" w:hAnsi="Calibri" w:cs="Calibri"/>
          <w:lang w:val="en-GB"/>
        </w:rPr>
        <w:t>broj</w:t>
      </w:r>
      <w:proofErr w:type="spellEnd"/>
      <w:r w:rsidRPr="00B9451D">
        <w:rPr>
          <w:rFonts w:ascii="Calibri" w:eastAsia="Times New Roman" w:hAnsi="Calibri" w:cs="Calibri"/>
          <w:lang w:val="en-GB"/>
        </w:rPr>
        <w:t xml:space="preserve"> 106/18 </w:t>
      </w:r>
      <w:proofErr w:type="spellStart"/>
      <w:r w:rsidRPr="00B9451D">
        <w:rPr>
          <w:rFonts w:ascii="Calibri" w:eastAsia="Times New Roman" w:hAnsi="Calibri" w:cs="Calibri"/>
          <w:lang w:val="en-GB"/>
        </w:rPr>
        <w:t>i</w:t>
      </w:r>
      <w:proofErr w:type="spellEnd"/>
      <w:r w:rsidRPr="00B9451D">
        <w:rPr>
          <w:rFonts w:ascii="Calibri" w:eastAsia="Times New Roman" w:hAnsi="Calibri" w:cs="Calibri"/>
          <w:lang w:val="en-GB"/>
        </w:rPr>
        <w:t xml:space="preserve"> 98/19),</w:t>
      </w:r>
      <w:r w:rsidRPr="00B9451D">
        <w:rPr>
          <w:rFonts w:ascii="Calibri" w:eastAsia="Times New Roman" w:hAnsi="Calibri" w:cs="Calibri"/>
          <w:b/>
          <w:bCs/>
          <w:lang w:val="en-GB"/>
        </w:rPr>
        <w:t xml:space="preserve"> </w:t>
      </w:r>
      <w:proofErr w:type="spellStart"/>
      <w:r w:rsidRPr="00B9451D">
        <w:rPr>
          <w:rFonts w:ascii="Calibri" w:eastAsia="Times New Roman" w:hAnsi="Calibri" w:cs="Calibri"/>
          <w:b/>
          <w:bCs/>
          <w:lang w:val="en-GB"/>
        </w:rPr>
        <w:t>Zakonom</w:t>
      </w:r>
      <w:proofErr w:type="spellEnd"/>
      <w:r w:rsidRPr="00B9451D">
        <w:rPr>
          <w:rFonts w:ascii="Calibri" w:eastAsia="Times New Roman" w:hAnsi="Calibri" w:cs="Calibri"/>
          <w:b/>
          <w:bCs/>
          <w:lang w:val="en-GB"/>
        </w:rPr>
        <w:t xml:space="preserve"> o </w:t>
      </w:r>
      <w:proofErr w:type="spellStart"/>
      <w:r w:rsidRPr="00B9451D">
        <w:rPr>
          <w:rFonts w:ascii="Calibri" w:eastAsia="Times New Roman" w:hAnsi="Calibri" w:cs="Calibri"/>
          <w:b/>
          <w:bCs/>
          <w:lang w:val="en-GB"/>
        </w:rPr>
        <w:t>obnovi</w:t>
      </w:r>
      <w:proofErr w:type="spellEnd"/>
      <w:r w:rsidRPr="00B9451D">
        <w:rPr>
          <w:rFonts w:ascii="Calibri" w:eastAsia="Times New Roman" w:hAnsi="Calibri" w:cs="Calibri"/>
          <w:b/>
          <w:bCs/>
          <w:lang w:val="en-GB"/>
        </w:rPr>
        <w:t xml:space="preserve"> </w:t>
      </w:r>
      <w:r w:rsidRPr="00B9451D">
        <w:rPr>
          <w:rFonts w:ascii="Calibri" w:eastAsia="Times New Roman" w:hAnsi="Calibri" w:cs="Calibri"/>
          <w:lang w:val="en-GB"/>
        </w:rPr>
        <w:t>(“</w:t>
      </w:r>
      <w:proofErr w:type="spellStart"/>
      <w:r w:rsidRPr="00B9451D">
        <w:rPr>
          <w:rFonts w:ascii="Calibri" w:eastAsia="Times New Roman" w:hAnsi="Calibri" w:cs="Calibri"/>
          <w:lang w:val="en-GB"/>
        </w:rPr>
        <w:t>Narodne</w:t>
      </w:r>
      <w:proofErr w:type="spellEnd"/>
      <w:r w:rsidRPr="00B9451D">
        <w:rPr>
          <w:rFonts w:ascii="Calibri" w:eastAsia="Times New Roman" w:hAnsi="Calibri" w:cs="Calibri"/>
          <w:b/>
          <w:bCs/>
          <w:lang w:val="en-GB"/>
        </w:rPr>
        <w:t xml:space="preserve"> </w:t>
      </w:r>
      <w:r w:rsidRPr="00B9451D">
        <w:rPr>
          <w:rFonts w:ascii="Calibri" w:eastAsia="Times New Roman" w:hAnsi="Calibri" w:cs="Calibri"/>
          <w:lang w:val="en-GB"/>
        </w:rPr>
        <w:t xml:space="preserve">novine” </w:t>
      </w:r>
      <w:proofErr w:type="spellStart"/>
      <w:r w:rsidRPr="00B9451D">
        <w:rPr>
          <w:rFonts w:ascii="Calibri" w:eastAsia="Times New Roman" w:hAnsi="Calibri" w:cs="Calibri"/>
          <w:lang w:val="en-GB"/>
        </w:rPr>
        <w:t>broj</w:t>
      </w:r>
      <w:proofErr w:type="spellEnd"/>
      <w:r w:rsidRPr="00B9451D">
        <w:rPr>
          <w:rFonts w:ascii="Calibri" w:eastAsia="Times New Roman" w:hAnsi="Calibri" w:cs="Calibri"/>
          <w:lang w:val="en-GB"/>
        </w:rPr>
        <w:t xml:space="preserve"> 24796, 54796, 87796, 57/00, 38/09, 45/11, 51A/13 </w:t>
      </w:r>
      <w:proofErr w:type="spellStart"/>
      <w:r w:rsidRPr="00B9451D">
        <w:rPr>
          <w:rFonts w:ascii="Calibri" w:eastAsia="Times New Roman" w:hAnsi="Calibri" w:cs="Calibri"/>
          <w:lang w:val="en-GB"/>
        </w:rPr>
        <w:t>i</w:t>
      </w:r>
      <w:proofErr w:type="spellEnd"/>
      <w:r w:rsidRPr="00B9451D">
        <w:rPr>
          <w:rFonts w:ascii="Calibri" w:eastAsia="Times New Roman" w:hAnsi="Calibri" w:cs="Calibri"/>
          <w:lang w:val="en-GB"/>
        </w:rPr>
        <w:t xml:space="preserve"> 98/19),</w:t>
      </w:r>
      <w:r w:rsidRPr="00B9451D">
        <w:rPr>
          <w:rFonts w:ascii="Calibri" w:eastAsia="Times New Roman" w:hAnsi="Calibri" w:cs="Calibri"/>
          <w:b/>
          <w:bCs/>
          <w:lang w:val="en-GB"/>
        </w:rPr>
        <w:t xml:space="preserve">  </w:t>
      </w:r>
      <w:proofErr w:type="spellStart"/>
      <w:r w:rsidRPr="00B9451D">
        <w:rPr>
          <w:rFonts w:ascii="Calibri" w:eastAsia="Times New Roman" w:hAnsi="Calibri" w:cs="Calibri"/>
          <w:b/>
          <w:bCs/>
          <w:lang w:val="en-GB"/>
        </w:rPr>
        <w:t>Zakonom</w:t>
      </w:r>
      <w:proofErr w:type="spellEnd"/>
      <w:r w:rsidRPr="00B9451D">
        <w:rPr>
          <w:rFonts w:ascii="Calibri" w:eastAsia="Times New Roman" w:hAnsi="Calibri" w:cs="Calibri"/>
          <w:b/>
          <w:bCs/>
          <w:lang w:val="en-GB"/>
        </w:rPr>
        <w:t xml:space="preserve"> o </w:t>
      </w:r>
      <w:proofErr w:type="spellStart"/>
      <w:r w:rsidRPr="00B9451D">
        <w:rPr>
          <w:rFonts w:ascii="Calibri" w:eastAsia="Times New Roman" w:hAnsi="Calibri" w:cs="Calibri"/>
          <w:b/>
          <w:bCs/>
          <w:lang w:val="en-GB"/>
        </w:rPr>
        <w:t>statusu</w:t>
      </w:r>
      <w:proofErr w:type="spellEnd"/>
      <w:r w:rsidRPr="00B9451D">
        <w:rPr>
          <w:rFonts w:ascii="Calibri" w:eastAsia="Times New Roman" w:hAnsi="Calibri" w:cs="Calibri"/>
          <w:b/>
          <w:bCs/>
          <w:lang w:val="en-GB"/>
        </w:rPr>
        <w:t xml:space="preserve"> </w:t>
      </w:r>
      <w:proofErr w:type="spellStart"/>
      <w:r w:rsidRPr="00B9451D">
        <w:rPr>
          <w:rFonts w:ascii="Calibri" w:eastAsia="Times New Roman" w:hAnsi="Calibri" w:cs="Calibri"/>
          <w:b/>
          <w:bCs/>
          <w:lang w:val="en-GB"/>
        </w:rPr>
        <w:t>prognanika</w:t>
      </w:r>
      <w:proofErr w:type="spellEnd"/>
      <w:r w:rsidRPr="00B9451D">
        <w:rPr>
          <w:rFonts w:ascii="Calibri" w:eastAsia="Times New Roman" w:hAnsi="Calibri" w:cs="Calibri"/>
          <w:b/>
          <w:bCs/>
          <w:lang w:val="en-GB"/>
        </w:rPr>
        <w:t xml:space="preserve"> </w:t>
      </w:r>
      <w:proofErr w:type="spellStart"/>
      <w:r w:rsidRPr="00B9451D">
        <w:rPr>
          <w:rFonts w:ascii="Calibri" w:eastAsia="Times New Roman" w:hAnsi="Calibri" w:cs="Calibri"/>
          <w:b/>
          <w:bCs/>
          <w:lang w:val="en-GB"/>
        </w:rPr>
        <w:t>i</w:t>
      </w:r>
      <w:proofErr w:type="spellEnd"/>
      <w:r w:rsidRPr="00B9451D">
        <w:rPr>
          <w:rFonts w:ascii="Calibri" w:eastAsia="Times New Roman" w:hAnsi="Calibri" w:cs="Calibri"/>
          <w:b/>
          <w:bCs/>
          <w:lang w:val="en-GB"/>
        </w:rPr>
        <w:t xml:space="preserve"> </w:t>
      </w:r>
      <w:proofErr w:type="spellStart"/>
      <w:r w:rsidRPr="00B9451D">
        <w:rPr>
          <w:rFonts w:ascii="Calibri" w:eastAsia="Times New Roman" w:hAnsi="Calibri" w:cs="Calibri"/>
          <w:b/>
          <w:bCs/>
          <w:lang w:val="en-GB"/>
        </w:rPr>
        <w:t>izbjeglica</w:t>
      </w:r>
      <w:proofErr w:type="spellEnd"/>
      <w:r w:rsidRPr="00B9451D">
        <w:rPr>
          <w:rFonts w:ascii="Calibri" w:eastAsia="Times New Roman" w:hAnsi="Calibri" w:cs="Calibri"/>
          <w:b/>
          <w:bCs/>
          <w:lang w:val="en-GB"/>
        </w:rPr>
        <w:t xml:space="preserve"> </w:t>
      </w:r>
      <w:r w:rsidRPr="00B9451D">
        <w:rPr>
          <w:rFonts w:ascii="Calibri" w:eastAsia="Times New Roman" w:hAnsi="Calibri" w:cs="Calibri"/>
          <w:lang w:val="en-GB"/>
        </w:rPr>
        <w:t>(“</w:t>
      </w:r>
      <w:proofErr w:type="spellStart"/>
      <w:r w:rsidRPr="00B9451D">
        <w:rPr>
          <w:rFonts w:ascii="Calibri" w:eastAsia="Times New Roman" w:hAnsi="Calibri" w:cs="Calibri"/>
          <w:lang w:val="en-GB"/>
        </w:rPr>
        <w:t>Narodne</w:t>
      </w:r>
      <w:proofErr w:type="spellEnd"/>
      <w:r w:rsidRPr="00B9451D">
        <w:rPr>
          <w:rFonts w:ascii="Calibri" w:eastAsia="Times New Roman" w:hAnsi="Calibri" w:cs="Calibri"/>
          <w:lang w:val="en-GB"/>
        </w:rPr>
        <w:t xml:space="preserve"> novine” </w:t>
      </w:r>
      <w:proofErr w:type="spellStart"/>
      <w:r w:rsidRPr="00B9451D">
        <w:rPr>
          <w:rFonts w:ascii="Calibri" w:eastAsia="Times New Roman" w:hAnsi="Calibri" w:cs="Calibri"/>
          <w:lang w:val="en-GB"/>
        </w:rPr>
        <w:t>broj</w:t>
      </w:r>
      <w:proofErr w:type="spellEnd"/>
      <w:r w:rsidRPr="00B9451D">
        <w:rPr>
          <w:rFonts w:ascii="Calibri" w:eastAsia="Times New Roman" w:hAnsi="Calibri" w:cs="Calibri"/>
          <w:lang w:val="en-GB"/>
        </w:rPr>
        <w:t xml:space="preserve"> 96/96, 39/95, 29/99, 128/99, 51a/13 </w:t>
      </w:r>
      <w:proofErr w:type="spellStart"/>
      <w:r w:rsidRPr="00B9451D">
        <w:rPr>
          <w:rFonts w:ascii="Calibri" w:eastAsia="Times New Roman" w:hAnsi="Calibri" w:cs="Calibri"/>
          <w:lang w:val="en-GB"/>
        </w:rPr>
        <w:t>i</w:t>
      </w:r>
      <w:proofErr w:type="spellEnd"/>
      <w:r w:rsidRPr="00B9451D">
        <w:rPr>
          <w:rFonts w:ascii="Calibri" w:eastAsia="Times New Roman" w:hAnsi="Calibri" w:cs="Calibri"/>
          <w:lang w:val="en-GB"/>
        </w:rPr>
        <w:t xml:space="preserve"> 98/19).</w:t>
      </w:r>
    </w:p>
    <w:p w14:paraId="3C705521" w14:textId="77777777" w:rsidR="00266CFE" w:rsidRPr="00266CFE" w:rsidRDefault="00266CFE" w:rsidP="00B9451D">
      <w:pPr>
        <w:spacing w:after="0" w:line="240" w:lineRule="auto"/>
        <w:jc w:val="both"/>
        <w:rPr>
          <w:rFonts w:ascii="Calibri" w:eastAsia="Times New Roman" w:hAnsi="Calibri" w:cs="Calibri"/>
          <w:sz w:val="16"/>
          <w:szCs w:val="16"/>
          <w:lang w:val="en-GB"/>
        </w:rPr>
      </w:pPr>
    </w:p>
    <w:p w14:paraId="082D6A9F" w14:textId="2E8A4CF8" w:rsidR="00266CFE" w:rsidRPr="00266CFE" w:rsidRDefault="00266CFE" w:rsidP="00266CFE">
      <w:pPr>
        <w:widowControl w:val="0"/>
        <w:suppressAutoHyphens/>
        <w:spacing w:after="0" w:line="240" w:lineRule="auto"/>
        <w:jc w:val="both"/>
        <w:rPr>
          <w:rFonts w:ascii="Calibri" w:eastAsia="Lucida Sans Unicode" w:hAnsi="Calibri" w:cs="Tahoma"/>
          <w:b/>
          <w:bCs/>
          <w:kern w:val="2"/>
          <w:u w:val="single"/>
          <w:shd w:val="clear" w:color="auto" w:fill="FFFFFF"/>
        </w:rPr>
      </w:pPr>
      <w:r w:rsidRPr="00266CFE">
        <w:rPr>
          <w:rFonts w:ascii="Calibri" w:eastAsia="Lucida Sans Unicode" w:hAnsi="Calibri" w:cs="Tahoma"/>
          <w:b/>
          <w:bCs/>
          <w:kern w:val="2"/>
          <w:u w:val="single"/>
          <w:shd w:val="clear" w:color="auto" w:fill="FFFFFF"/>
        </w:rPr>
        <w:t>REALIZIRANE AKTIVNOSTI od 1.</w:t>
      </w:r>
      <w:r>
        <w:rPr>
          <w:rFonts w:ascii="Calibri" w:eastAsia="Lucida Sans Unicode" w:hAnsi="Calibri" w:cs="Tahoma"/>
          <w:b/>
          <w:bCs/>
          <w:kern w:val="2"/>
          <w:u w:val="single"/>
          <w:shd w:val="clear" w:color="auto" w:fill="FFFFFF"/>
        </w:rPr>
        <w:t xml:space="preserve"> </w:t>
      </w:r>
      <w:r w:rsidRPr="00266CFE">
        <w:rPr>
          <w:rFonts w:ascii="Calibri" w:eastAsia="Lucida Sans Unicode" w:hAnsi="Calibri" w:cs="Tahoma"/>
          <w:b/>
          <w:bCs/>
          <w:kern w:val="2"/>
          <w:u w:val="single"/>
          <w:shd w:val="clear" w:color="auto" w:fill="FFFFFF"/>
        </w:rPr>
        <w:t>1. do 30.</w:t>
      </w:r>
      <w:r>
        <w:rPr>
          <w:rFonts w:ascii="Calibri" w:eastAsia="Lucida Sans Unicode" w:hAnsi="Calibri" w:cs="Tahoma"/>
          <w:b/>
          <w:bCs/>
          <w:kern w:val="2"/>
          <w:u w:val="single"/>
          <w:shd w:val="clear" w:color="auto" w:fill="FFFFFF"/>
        </w:rPr>
        <w:t xml:space="preserve"> </w:t>
      </w:r>
      <w:r w:rsidRPr="00266CFE">
        <w:rPr>
          <w:rFonts w:ascii="Calibri" w:eastAsia="Lucida Sans Unicode" w:hAnsi="Calibri" w:cs="Tahoma"/>
          <w:b/>
          <w:bCs/>
          <w:kern w:val="2"/>
          <w:u w:val="single"/>
          <w:shd w:val="clear" w:color="auto" w:fill="FFFFFF"/>
        </w:rPr>
        <w:t>6.</w:t>
      </w:r>
      <w:r>
        <w:rPr>
          <w:rFonts w:ascii="Calibri" w:eastAsia="Lucida Sans Unicode" w:hAnsi="Calibri" w:cs="Tahoma"/>
          <w:b/>
          <w:bCs/>
          <w:kern w:val="2"/>
          <w:u w:val="single"/>
          <w:shd w:val="clear" w:color="auto" w:fill="FFFFFF"/>
        </w:rPr>
        <w:t xml:space="preserve"> </w:t>
      </w:r>
      <w:r w:rsidRPr="00266CFE">
        <w:rPr>
          <w:rFonts w:ascii="Calibri" w:eastAsia="Lucida Sans Unicode" w:hAnsi="Calibri" w:cs="Tahoma"/>
          <w:b/>
          <w:bCs/>
          <w:kern w:val="2"/>
          <w:u w:val="single"/>
          <w:shd w:val="clear" w:color="auto" w:fill="FFFFFF"/>
        </w:rPr>
        <w:t>202</w:t>
      </w:r>
      <w:r>
        <w:rPr>
          <w:rFonts w:ascii="Calibri" w:eastAsia="Lucida Sans Unicode" w:hAnsi="Calibri" w:cs="Tahoma"/>
          <w:b/>
          <w:bCs/>
          <w:kern w:val="2"/>
          <w:u w:val="single"/>
          <w:shd w:val="clear" w:color="auto" w:fill="FFFFFF"/>
        </w:rPr>
        <w:t>2</w:t>
      </w:r>
      <w:r w:rsidRPr="00266CFE">
        <w:rPr>
          <w:rFonts w:ascii="Calibri" w:eastAsia="Lucida Sans Unicode" w:hAnsi="Calibri" w:cs="Tahoma"/>
          <w:b/>
          <w:bCs/>
          <w:kern w:val="2"/>
          <w:u w:val="single"/>
          <w:shd w:val="clear" w:color="auto" w:fill="FFFFFF"/>
        </w:rPr>
        <w:t>. GODINE:</w:t>
      </w:r>
    </w:p>
    <w:p w14:paraId="396B9A1C" w14:textId="0937B446" w:rsidR="00765C62" w:rsidRPr="00765C62" w:rsidRDefault="00C85154" w:rsidP="00412820">
      <w:pPr>
        <w:spacing w:after="0" w:line="256" w:lineRule="auto"/>
        <w:ind w:firstLine="708"/>
        <w:jc w:val="both"/>
        <w:rPr>
          <w:rFonts w:ascii="Calibri" w:eastAsia="Times New Roman" w:hAnsi="Calibri" w:cs="Calibri"/>
          <w:lang w:eastAsia="hr-HR"/>
        </w:rPr>
      </w:pPr>
      <w:r>
        <w:rPr>
          <w:rFonts w:ascii="Calibri" w:eastAsia="Calibri" w:hAnsi="Calibri" w:cs="Calibri"/>
        </w:rPr>
        <w:t>Realizacija rada Upravnog odjela u prvom polugodištu 2022. godine</w:t>
      </w:r>
      <w:r w:rsidR="00412820">
        <w:rPr>
          <w:rFonts w:ascii="Calibri" w:eastAsia="Calibri" w:hAnsi="Calibri" w:cs="Calibri"/>
        </w:rPr>
        <w:t xml:space="preserve"> je vidljiva kroz broj izdanih akta - </w:t>
      </w:r>
      <w:r w:rsidR="00765C62" w:rsidRPr="00765C62">
        <w:rPr>
          <w:rFonts w:ascii="Calibri" w:eastAsia="Times New Roman" w:hAnsi="Calibri" w:cs="Calibri"/>
          <w:lang w:eastAsia="hr-HR"/>
        </w:rPr>
        <w:t xml:space="preserve"> ukupno 1.482 akta i to:</w:t>
      </w:r>
    </w:p>
    <w:tbl>
      <w:tblPr>
        <w:tblStyle w:val="Reetkatablice1"/>
        <w:tblW w:w="9072" w:type="dxa"/>
        <w:tblInd w:w="-5" w:type="dxa"/>
        <w:tblLayout w:type="fixed"/>
        <w:tblLook w:val="04A0" w:firstRow="1" w:lastRow="0" w:firstColumn="1" w:lastColumn="0" w:noHBand="0" w:noVBand="1"/>
      </w:tblPr>
      <w:tblGrid>
        <w:gridCol w:w="2268"/>
        <w:gridCol w:w="1418"/>
        <w:gridCol w:w="1417"/>
        <w:gridCol w:w="1418"/>
        <w:gridCol w:w="1276"/>
        <w:gridCol w:w="1275"/>
      </w:tblGrid>
      <w:tr w:rsidR="00412820" w:rsidRPr="00765C62" w14:paraId="158028F6" w14:textId="77777777" w:rsidTr="00412820">
        <w:tc>
          <w:tcPr>
            <w:tcW w:w="2268" w:type="dxa"/>
            <w:vMerge w:val="restart"/>
          </w:tcPr>
          <w:p w14:paraId="7003F205" w14:textId="77777777" w:rsidR="00765C62" w:rsidRPr="00765C62" w:rsidRDefault="00765C62" w:rsidP="00765C62">
            <w:pPr>
              <w:spacing w:line="254" w:lineRule="auto"/>
              <w:ind w:left="720"/>
              <w:contextualSpacing/>
              <w:jc w:val="center"/>
              <w:rPr>
                <w:rFonts w:eastAsia="Times New Roman"/>
                <w:b/>
                <w:bCs/>
                <w:sz w:val="8"/>
                <w:szCs w:val="8"/>
                <w:lang w:eastAsia="hr-HR"/>
              </w:rPr>
            </w:pPr>
          </w:p>
          <w:p w14:paraId="62689F74" w14:textId="77777777" w:rsidR="00765C62" w:rsidRPr="00765C62" w:rsidRDefault="00765C62" w:rsidP="00765C62">
            <w:pPr>
              <w:spacing w:line="254" w:lineRule="auto"/>
              <w:ind w:left="720"/>
              <w:contextualSpacing/>
              <w:jc w:val="center"/>
              <w:rPr>
                <w:rFonts w:eastAsia="Times New Roman"/>
                <w:b/>
                <w:bCs/>
                <w:lang w:eastAsia="hr-HR"/>
              </w:rPr>
            </w:pPr>
            <w:r w:rsidRPr="00765C62">
              <w:rPr>
                <w:rFonts w:eastAsia="Times New Roman"/>
                <w:b/>
                <w:bCs/>
                <w:lang w:eastAsia="hr-HR"/>
              </w:rPr>
              <w:t>Vrsta akta</w:t>
            </w:r>
          </w:p>
        </w:tc>
        <w:tc>
          <w:tcPr>
            <w:tcW w:w="6804" w:type="dxa"/>
            <w:gridSpan w:val="5"/>
          </w:tcPr>
          <w:p w14:paraId="62BA05DF" w14:textId="77777777" w:rsidR="00765C62" w:rsidRPr="00765C62" w:rsidRDefault="00765C62" w:rsidP="00765C62">
            <w:pPr>
              <w:spacing w:line="254" w:lineRule="auto"/>
              <w:ind w:left="720"/>
              <w:contextualSpacing/>
              <w:jc w:val="center"/>
              <w:rPr>
                <w:rFonts w:eastAsia="Times New Roman"/>
                <w:b/>
                <w:bCs/>
                <w:lang w:eastAsia="hr-HR"/>
              </w:rPr>
            </w:pPr>
            <w:r w:rsidRPr="00765C62">
              <w:rPr>
                <w:rFonts w:eastAsia="Times New Roman"/>
                <w:b/>
                <w:bCs/>
                <w:lang w:eastAsia="hr-HR"/>
              </w:rPr>
              <w:t>Broji izdanih akta po ispostavama i ukupno</w:t>
            </w:r>
          </w:p>
        </w:tc>
      </w:tr>
      <w:tr w:rsidR="00412820" w:rsidRPr="00765C62" w14:paraId="3FCD7DAE" w14:textId="77777777" w:rsidTr="00412820">
        <w:tc>
          <w:tcPr>
            <w:tcW w:w="2268" w:type="dxa"/>
            <w:vMerge/>
          </w:tcPr>
          <w:p w14:paraId="70B01CE3" w14:textId="77777777" w:rsidR="00765C62" w:rsidRPr="00765C62" w:rsidRDefault="00765C62" w:rsidP="00765C62">
            <w:pPr>
              <w:spacing w:line="254" w:lineRule="auto"/>
              <w:ind w:left="720"/>
              <w:contextualSpacing/>
              <w:jc w:val="both"/>
              <w:rPr>
                <w:rFonts w:eastAsia="Times New Roman"/>
                <w:lang w:eastAsia="hr-HR"/>
              </w:rPr>
            </w:pPr>
          </w:p>
        </w:tc>
        <w:tc>
          <w:tcPr>
            <w:tcW w:w="1418" w:type="dxa"/>
          </w:tcPr>
          <w:p w14:paraId="2F512129" w14:textId="77777777" w:rsidR="00765C62" w:rsidRPr="00765C62" w:rsidRDefault="00765C62" w:rsidP="00412820">
            <w:pPr>
              <w:spacing w:line="254" w:lineRule="auto"/>
              <w:contextualSpacing/>
              <w:rPr>
                <w:rFonts w:eastAsia="Times New Roman"/>
                <w:b/>
                <w:bCs/>
                <w:lang w:eastAsia="hr-HR"/>
              </w:rPr>
            </w:pPr>
            <w:r w:rsidRPr="00765C62">
              <w:rPr>
                <w:rFonts w:eastAsia="Times New Roman"/>
                <w:b/>
                <w:bCs/>
                <w:lang w:eastAsia="hr-HR"/>
              </w:rPr>
              <w:t>Sisak</w:t>
            </w:r>
          </w:p>
        </w:tc>
        <w:tc>
          <w:tcPr>
            <w:tcW w:w="1417" w:type="dxa"/>
          </w:tcPr>
          <w:p w14:paraId="5671DC90" w14:textId="77777777" w:rsidR="00765C62" w:rsidRPr="00765C62" w:rsidRDefault="00765C62" w:rsidP="00412820">
            <w:pPr>
              <w:spacing w:line="254" w:lineRule="auto"/>
              <w:ind w:left="57"/>
              <w:contextualSpacing/>
              <w:jc w:val="center"/>
              <w:rPr>
                <w:rFonts w:eastAsia="Times New Roman"/>
                <w:b/>
                <w:bCs/>
                <w:lang w:eastAsia="hr-HR"/>
              </w:rPr>
            </w:pPr>
            <w:r w:rsidRPr="00765C62">
              <w:rPr>
                <w:rFonts w:eastAsia="Times New Roman"/>
                <w:b/>
                <w:bCs/>
                <w:lang w:eastAsia="hr-HR"/>
              </w:rPr>
              <w:t>Popovača</w:t>
            </w:r>
          </w:p>
        </w:tc>
        <w:tc>
          <w:tcPr>
            <w:tcW w:w="1418" w:type="dxa"/>
          </w:tcPr>
          <w:p w14:paraId="692762C4" w14:textId="77777777" w:rsidR="00765C62" w:rsidRPr="00765C62" w:rsidRDefault="00765C62" w:rsidP="00412820">
            <w:pPr>
              <w:spacing w:line="254" w:lineRule="auto"/>
              <w:ind w:left="37"/>
              <w:contextualSpacing/>
              <w:jc w:val="center"/>
              <w:rPr>
                <w:rFonts w:eastAsia="Times New Roman"/>
                <w:b/>
                <w:bCs/>
                <w:lang w:eastAsia="hr-HR"/>
              </w:rPr>
            </w:pPr>
            <w:r w:rsidRPr="00765C62">
              <w:rPr>
                <w:rFonts w:eastAsia="Times New Roman"/>
                <w:b/>
                <w:bCs/>
                <w:lang w:eastAsia="hr-HR"/>
              </w:rPr>
              <w:t>Novska</w:t>
            </w:r>
          </w:p>
        </w:tc>
        <w:tc>
          <w:tcPr>
            <w:tcW w:w="1276" w:type="dxa"/>
          </w:tcPr>
          <w:p w14:paraId="2704ECF8" w14:textId="77777777" w:rsidR="00765C62" w:rsidRPr="00765C62" w:rsidRDefault="00765C62" w:rsidP="00412820">
            <w:pPr>
              <w:spacing w:line="254" w:lineRule="auto"/>
              <w:ind w:left="39"/>
              <w:contextualSpacing/>
              <w:jc w:val="center"/>
              <w:rPr>
                <w:rFonts w:eastAsia="Times New Roman"/>
                <w:b/>
                <w:bCs/>
                <w:lang w:eastAsia="hr-HR"/>
              </w:rPr>
            </w:pPr>
            <w:r w:rsidRPr="00765C62">
              <w:rPr>
                <w:rFonts w:eastAsia="Times New Roman"/>
                <w:b/>
                <w:bCs/>
                <w:lang w:eastAsia="hr-HR"/>
              </w:rPr>
              <w:t>Glina</w:t>
            </w:r>
          </w:p>
        </w:tc>
        <w:tc>
          <w:tcPr>
            <w:tcW w:w="1275" w:type="dxa"/>
          </w:tcPr>
          <w:p w14:paraId="0303B1ED" w14:textId="77777777" w:rsidR="00765C62" w:rsidRPr="00765C62" w:rsidRDefault="00765C62" w:rsidP="00412820">
            <w:pPr>
              <w:spacing w:line="254" w:lineRule="auto"/>
              <w:ind w:left="172"/>
              <w:contextualSpacing/>
              <w:jc w:val="center"/>
              <w:rPr>
                <w:rFonts w:eastAsia="Times New Roman"/>
                <w:b/>
                <w:bCs/>
                <w:lang w:eastAsia="hr-HR"/>
              </w:rPr>
            </w:pPr>
            <w:r w:rsidRPr="00765C62">
              <w:rPr>
                <w:rFonts w:eastAsia="Times New Roman"/>
                <w:b/>
                <w:bCs/>
                <w:lang w:eastAsia="hr-HR"/>
              </w:rPr>
              <w:t>ukupno</w:t>
            </w:r>
          </w:p>
        </w:tc>
      </w:tr>
      <w:tr w:rsidR="00412820" w:rsidRPr="00765C62" w14:paraId="2F3581D1" w14:textId="77777777" w:rsidTr="00412820">
        <w:tc>
          <w:tcPr>
            <w:tcW w:w="2268" w:type="dxa"/>
          </w:tcPr>
          <w:p w14:paraId="495B58F9" w14:textId="77777777" w:rsidR="00765C62" w:rsidRPr="00765C62" w:rsidRDefault="00765C62" w:rsidP="00412820">
            <w:pPr>
              <w:spacing w:line="254" w:lineRule="auto"/>
              <w:ind w:left="34"/>
              <w:contextualSpacing/>
              <w:rPr>
                <w:rFonts w:eastAsia="Times New Roman"/>
                <w:lang w:eastAsia="hr-HR"/>
              </w:rPr>
            </w:pPr>
            <w:r w:rsidRPr="00765C62">
              <w:rPr>
                <w:rFonts w:eastAsia="Times New Roman"/>
                <w:lang w:eastAsia="hr-HR"/>
              </w:rPr>
              <w:t>Lokacijska dozvola</w:t>
            </w:r>
          </w:p>
        </w:tc>
        <w:tc>
          <w:tcPr>
            <w:tcW w:w="1418" w:type="dxa"/>
          </w:tcPr>
          <w:p w14:paraId="5071345A" w14:textId="77777777" w:rsidR="00765C62" w:rsidRPr="00765C62" w:rsidRDefault="00765C62" w:rsidP="00765C62">
            <w:pPr>
              <w:spacing w:line="254" w:lineRule="auto"/>
              <w:ind w:left="720"/>
              <w:contextualSpacing/>
              <w:jc w:val="right"/>
              <w:rPr>
                <w:rFonts w:eastAsia="Times New Roman"/>
                <w:lang w:eastAsia="hr-HR"/>
              </w:rPr>
            </w:pPr>
            <w:r w:rsidRPr="00765C62">
              <w:rPr>
                <w:rFonts w:eastAsia="Times New Roman"/>
                <w:lang w:eastAsia="hr-HR"/>
              </w:rPr>
              <w:t>7</w:t>
            </w:r>
          </w:p>
        </w:tc>
        <w:tc>
          <w:tcPr>
            <w:tcW w:w="1417" w:type="dxa"/>
          </w:tcPr>
          <w:p w14:paraId="21F2501E" w14:textId="77777777" w:rsidR="00765C62" w:rsidRPr="00765C62" w:rsidRDefault="00765C62" w:rsidP="00765C62">
            <w:pPr>
              <w:spacing w:line="254" w:lineRule="auto"/>
              <w:ind w:left="720"/>
              <w:contextualSpacing/>
              <w:jc w:val="right"/>
              <w:rPr>
                <w:rFonts w:eastAsia="Times New Roman"/>
                <w:lang w:eastAsia="hr-HR"/>
              </w:rPr>
            </w:pPr>
            <w:r w:rsidRPr="00765C62">
              <w:rPr>
                <w:rFonts w:eastAsia="Times New Roman"/>
                <w:lang w:eastAsia="hr-HR"/>
              </w:rPr>
              <w:t>3</w:t>
            </w:r>
          </w:p>
        </w:tc>
        <w:tc>
          <w:tcPr>
            <w:tcW w:w="1418" w:type="dxa"/>
          </w:tcPr>
          <w:p w14:paraId="67F84632" w14:textId="77777777" w:rsidR="00765C62" w:rsidRPr="00765C62" w:rsidRDefault="00765C62" w:rsidP="00765C62">
            <w:pPr>
              <w:spacing w:line="254" w:lineRule="auto"/>
              <w:ind w:left="720"/>
              <w:contextualSpacing/>
              <w:jc w:val="right"/>
              <w:rPr>
                <w:rFonts w:eastAsia="Times New Roman"/>
                <w:lang w:eastAsia="hr-HR"/>
              </w:rPr>
            </w:pPr>
            <w:r w:rsidRPr="00765C62">
              <w:rPr>
                <w:rFonts w:eastAsia="Times New Roman"/>
                <w:lang w:eastAsia="hr-HR"/>
              </w:rPr>
              <w:t>6</w:t>
            </w:r>
          </w:p>
        </w:tc>
        <w:tc>
          <w:tcPr>
            <w:tcW w:w="1276" w:type="dxa"/>
          </w:tcPr>
          <w:p w14:paraId="3AA9C7F4" w14:textId="77777777" w:rsidR="00765C62" w:rsidRPr="00765C62" w:rsidRDefault="00765C62" w:rsidP="00765C62">
            <w:pPr>
              <w:spacing w:line="254" w:lineRule="auto"/>
              <w:ind w:left="720"/>
              <w:contextualSpacing/>
              <w:jc w:val="right"/>
              <w:rPr>
                <w:rFonts w:eastAsia="Times New Roman"/>
                <w:lang w:eastAsia="hr-HR"/>
              </w:rPr>
            </w:pPr>
            <w:r w:rsidRPr="00765C62">
              <w:rPr>
                <w:rFonts w:eastAsia="Times New Roman"/>
                <w:lang w:eastAsia="hr-HR"/>
              </w:rPr>
              <w:t>6</w:t>
            </w:r>
          </w:p>
        </w:tc>
        <w:tc>
          <w:tcPr>
            <w:tcW w:w="1275" w:type="dxa"/>
          </w:tcPr>
          <w:p w14:paraId="1E68A2AD" w14:textId="77777777" w:rsidR="00765C62" w:rsidRPr="00765C62" w:rsidRDefault="00765C62" w:rsidP="00765C62">
            <w:pPr>
              <w:spacing w:line="254" w:lineRule="auto"/>
              <w:ind w:left="720"/>
              <w:contextualSpacing/>
              <w:jc w:val="right"/>
              <w:rPr>
                <w:rFonts w:eastAsia="Times New Roman"/>
                <w:lang w:eastAsia="hr-HR"/>
              </w:rPr>
            </w:pPr>
            <w:r w:rsidRPr="00765C62">
              <w:rPr>
                <w:rFonts w:eastAsia="Times New Roman"/>
                <w:lang w:eastAsia="hr-HR"/>
              </w:rPr>
              <w:t>22</w:t>
            </w:r>
          </w:p>
        </w:tc>
      </w:tr>
      <w:tr w:rsidR="00412820" w:rsidRPr="00765C62" w14:paraId="00B27688" w14:textId="77777777" w:rsidTr="00412820">
        <w:tc>
          <w:tcPr>
            <w:tcW w:w="2268" w:type="dxa"/>
          </w:tcPr>
          <w:p w14:paraId="32C206E5" w14:textId="77777777" w:rsidR="00765C62" w:rsidRPr="00765C62" w:rsidRDefault="00765C62" w:rsidP="00412820">
            <w:pPr>
              <w:spacing w:line="254" w:lineRule="auto"/>
              <w:ind w:left="34"/>
              <w:contextualSpacing/>
              <w:rPr>
                <w:rFonts w:eastAsia="Times New Roman"/>
                <w:lang w:eastAsia="hr-HR"/>
              </w:rPr>
            </w:pPr>
            <w:r w:rsidRPr="00765C62">
              <w:rPr>
                <w:rFonts w:eastAsia="Times New Roman"/>
                <w:lang w:eastAsia="hr-HR"/>
              </w:rPr>
              <w:t>Građevinska dozvola</w:t>
            </w:r>
          </w:p>
        </w:tc>
        <w:tc>
          <w:tcPr>
            <w:tcW w:w="1418" w:type="dxa"/>
          </w:tcPr>
          <w:p w14:paraId="588F3C1B" w14:textId="77777777" w:rsidR="00765C62" w:rsidRPr="00765C62" w:rsidRDefault="00765C62" w:rsidP="00765C62">
            <w:pPr>
              <w:spacing w:line="254" w:lineRule="auto"/>
              <w:ind w:left="720"/>
              <w:contextualSpacing/>
              <w:jc w:val="right"/>
              <w:rPr>
                <w:rFonts w:eastAsia="Times New Roman"/>
                <w:lang w:eastAsia="hr-HR"/>
              </w:rPr>
            </w:pPr>
            <w:r w:rsidRPr="00765C62">
              <w:rPr>
                <w:rFonts w:eastAsia="Times New Roman"/>
                <w:lang w:eastAsia="hr-HR"/>
              </w:rPr>
              <w:t>25</w:t>
            </w:r>
          </w:p>
        </w:tc>
        <w:tc>
          <w:tcPr>
            <w:tcW w:w="1417" w:type="dxa"/>
          </w:tcPr>
          <w:p w14:paraId="0A01CB80" w14:textId="77777777" w:rsidR="00765C62" w:rsidRPr="00765C62" w:rsidRDefault="00765C62" w:rsidP="00765C62">
            <w:pPr>
              <w:spacing w:line="254" w:lineRule="auto"/>
              <w:ind w:left="720"/>
              <w:contextualSpacing/>
              <w:jc w:val="right"/>
              <w:rPr>
                <w:rFonts w:eastAsia="Times New Roman"/>
                <w:lang w:eastAsia="hr-HR"/>
              </w:rPr>
            </w:pPr>
            <w:r w:rsidRPr="00765C62">
              <w:rPr>
                <w:rFonts w:eastAsia="Times New Roman"/>
                <w:lang w:eastAsia="hr-HR"/>
              </w:rPr>
              <w:t>26</w:t>
            </w:r>
          </w:p>
        </w:tc>
        <w:tc>
          <w:tcPr>
            <w:tcW w:w="1418" w:type="dxa"/>
          </w:tcPr>
          <w:p w14:paraId="01E8B25D" w14:textId="77777777" w:rsidR="00765C62" w:rsidRPr="00765C62" w:rsidRDefault="00765C62" w:rsidP="00765C62">
            <w:pPr>
              <w:spacing w:line="254" w:lineRule="auto"/>
              <w:ind w:left="720"/>
              <w:contextualSpacing/>
              <w:jc w:val="right"/>
              <w:rPr>
                <w:rFonts w:eastAsia="Times New Roman"/>
                <w:lang w:eastAsia="hr-HR"/>
              </w:rPr>
            </w:pPr>
            <w:r w:rsidRPr="00765C62">
              <w:rPr>
                <w:rFonts w:eastAsia="Times New Roman"/>
                <w:lang w:eastAsia="hr-HR"/>
              </w:rPr>
              <w:t>37</w:t>
            </w:r>
          </w:p>
        </w:tc>
        <w:tc>
          <w:tcPr>
            <w:tcW w:w="1276" w:type="dxa"/>
          </w:tcPr>
          <w:p w14:paraId="570F4A7D" w14:textId="77777777" w:rsidR="00765C62" w:rsidRPr="00765C62" w:rsidRDefault="00765C62" w:rsidP="00765C62">
            <w:pPr>
              <w:spacing w:line="254" w:lineRule="auto"/>
              <w:ind w:left="720"/>
              <w:contextualSpacing/>
              <w:jc w:val="right"/>
              <w:rPr>
                <w:rFonts w:eastAsia="Times New Roman"/>
                <w:lang w:eastAsia="hr-HR"/>
              </w:rPr>
            </w:pPr>
            <w:r w:rsidRPr="00765C62">
              <w:rPr>
                <w:rFonts w:eastAsia="Times New Roman"/>
                <w:lang w:eastAsia="hr-HR"/>
              </w:rPr>
              <w:t>19</w:t>
            </w:r>
          </w:p>
        </w:tc>
        <w:tc>
          <w:tcPr>
            <w:tcW w:w="1275" w:type="dxa"/>
          </w:tcPr>
          <w:p w14:paraId="00A979CE" w14:textId="77777777" w:rsidR="00765C62" w:rsidRPr="00765C62" w:rsidRDefault="00765C62" w:rsidP="00765C62">
            <w:pPr>
              <w:spacing w:line="254" w:lineRule="auto"/>
              <w:ind w:left="720"/>
              <w:contextualSpacing/>
              <w:jc w:val="right"/>
              <w:rPr>
                <w:rFonts w:eastAsia="Times New Roman"/>
                <w:lang w:eastAsia="hr-HR"/>
              </w:rPr>
            </w:pPr>
            <w:r w:rsidRPr="00765C62">
              <w:rPr>
                <w:rFonts w:eastAsia="Times New Roman"/>
                <w:lang w:eastAsia="hr-HR"/>
              </w:rPr>
              <w:t>107</w:t>
            </w:r>
          </w:p>
        </w:tc>
      </w:tr>
      <w:tr w:rsidR="00412820" w:rsidRPr="00765C62" w14:paraId="445EEBBC" w14:textId="77777777" w:rsidTr="00412820">
        <w:tc>
          <w:tcPr>
            <w:tcW w:w="2268" w:type="dxa"/>
          </w:tcPr>
          <w:p w14:paraId="5979F6B4" w14:textId="77777777" w:rsidR="00765C62" w:rsidRPr="00765C62" w:rsidRDefault="00765C62" w:rsidP="00412820">
            <w:pPr>
              <w:spacing w:line="254" w:lineRule="auto"/>
              <w:ind w:left="34"/>
              <w:contextualSpacing/>
              <w:rPr>
                <w:rFonts w:eastAsia="Times New Roman"/>
                <w:lang w:eastAsia="hr-HR"/>
              </w:rPr>
            </w:pPr>
            <w:r w:rsidRPr="00765C62">
              <w:rPr>
                <w:rFonts w:eastAsia="Times New Roman"/>
                <w:lang w:eastAsia="hr-HR"/>
              </w:rPr>
              <w:t>Uporabna dozvola s tehničkim pregledom</w:t>
            </w:r>
          </w:p>
        </w:tc>
        <w:tc>
          <w:tcPr>
            <w:tcW w:w="1418" w:type="dxa"/>
          </w:tcPr>
          <w:p w14:paraId="36FA3EAE" w14:textId="77777777" w:rsidR="00765C62" w:rsidRPr="00765C62" w:rsidRDefault="00765C62" w:rsidP="00765C62">
            <w:pPr>
              <w:spacing w:line="254" w:lineRule="auto"/>
              <w:ind w:left="720"/>
              <w:contextualSpacing/>
              <w:jc w:val="right"/>
              <w:rPr>
                <w:rFonts w:eastAsia="Times New Roman"/>
                <w:lang w:eastAsia="hr-HR"/>
              </w:rPr>
            </w:pPr>
            <w:r w:rsidRPr="00765C62">
              <w:rPr>
                <w:rFonts w:eastAsia="Times New Roman"/>
                <w:lang w:eastAsia="hr-HR"/>
              </w:rPr>
              <w:t>6</w:t>
            </w:r>
          </w:p>
        </w:tc>
        <w:tc>
          <w:tcPr>
            <w:tcW w:w="1417" w:type="dxa"/>
          </w:tcPr>
          <w:p w14:paraId="394357ED" w14:textId="77777777" w:rsidR="00765C62" w:rsidRPr="00765C62" w:rsidRDefault="00765C62" w:rsidP="00765C62">
            <w:pPr>
              <w:spacing w:line="254" w:lineRule="auto"/>
              <w:ind w:left="720"/>
              <w:contextualSpacing/>
              <w:jc w:val="right"/>
              <w:rPr>
                <w:rFonts w:eastAsia="Times New Roman"/>
                <w:lang w:eastAsia="hr-HR"/>
              </w:rPr>
            </w:pPr>
            <w:r w:rsidRPr="00765C62">
              <w:rPr>
                <w:rFonts w:eastAsia="Times New Roman"/>
                <w:lang w:eastAsia="hr-HR"/>
              </w:rPr>
              <w:t>6</w:t>
            </w:r>
          </w:p>
        </w:tc>
        <w:tc>
          <w:tcPr>
            <w:tcW w:w="1418" w:type="dxa"/>
          </w:tcPr>
          <w:p w14:paraId="6790FA35" w14:textId="77777777" w:rsidR="00765C62" w:rsidRPr="00765C62" w:rsidRDefault="00765C62" w:rsidP="00765C62">
            <w:pPr>
              <w:spacing w:line="254" w:lineRule="auto"/>
              <w:ind w:left="720"/>
              <w:contextualSpacing/>
              <w:jc w:val="right"/>
              <w:rPr>
                <w:rFonts w:eastAsia="Times New Roman"/>
                <w:lang w:eastAsia="hr-HR"/>
              </w:rPr>
            </w:pPr>
            <w:r w:rsidRPr="00765C62">
              <w:rPr>
                <w:rFonts w:eastAsia="Times New Roman"/>
                <w:lang w:eastAsia="hr-HR"/>
              </w:rPr>
              <w:t>15</w:t>
            </w:r>
          </w:p>
        </w:tc>
        <w:tc>
          <w:tcPr>
            <w:tcW w:w="1276" w:type="dxa"/>
          </w:tcPr>
          <w:p w14:paraId="3FDBBEA9" w14:textId="77777777" w:rsidR="00765C62" w:rsidRPr="00765C62" w:rsidRDefault="00765C62" w:rsidP="00765C62">
            <w:pPr>
              <w:spacing w:line="254" w:lineRule="auto"/>
              <w:ind w:left="720"/>
              <w:contextualSpacing/>
              <w:jc w:val="right"/>
              <w:rPr>
                <w:rFonts w:eastAsia="Times New Roman"/>
                <w:lang w:eastAsia="hr-HR"/>
              </w:rPr>
            </w:pPr>
            <w:r w:rsidRPr="00765C62">
              <w:rPr>
                <w:rFonts w:eastAsia="Times New Roman"/>
                <w:lang w:eastAsia="hr-HR"/>
              </w:rPr>
              <w:t>2</w:t>
            </w:r>
          </w:p>
        </w:tc>
        <w:tc>
          <w:tcPr>
            <w:tcW w:w="1275" w:type="dxa"/>
          </w:tcPr>
          <w:p w14:paraId="6C2E3973" w14:textId="77777777" w:rsidR="00765C62" w:rsidRPr="00765C62" w:rsidRDefault="00765C62" w:rsidP="00765C62">
            <w:pPr>
              <w:spacing w:line="254" w:lineRule="auto"/>
              <w:ind w:left="720"/>
              <w:contextualSpacing/>
              <w:jc w:val="right"/>
              <w:rPr>
                <w:rFonts w:eastAsia="Times New Roman"/>
                <w:lang w:eastAsia="hr-HR"/>
              </w:rPr>
            </w:pPr>
            <w:r w:rsidRPr="00765C62">
              <w:rPr>
                <w:rFonts w:eastAsia="Times New Roman"/>
                <w:lang w:eastAsia="hr-HR"/>
              </w:rPr>
              <w:t>29</w:t>
            </w:r>
          </w:p>
        </w:tc>
      </w:tr>
      <w:tr w:rsidR="00412820" w:rsidRPr="00765C62" w14:paraId="6765BE67" w14:textId="77777777" w:rsidTr="00412820">
        <w:tc>
          <w:tcPr>
            <w:tcW w:w="2268" w:type="dxa"/>
          </w:tcPr>
          <w:p w14:paraId="088667FD" w14:textId="77777777" w:rsidR="00765C62" w:rsidRPr="00765C62" w:rsidRDefault="00765C62" w:rsidP="00412820">
            <w:pPr>
              <w:spacing w:line="254" w:lineRule="auto"/>
              <w:ind w:left="34"/>
              <w:contextualSpacing/>
              <w:rPr>
                <w:rFonts w:eastAsia="Times New Roman"/>
                <w:lang w:eastAsia="hr-HR"/>
              </w:rPr>
            </w:pPr>
            <w:r w:rsidRPr="00765C62">
              <w:rPr>
                <w:rFonts w:eastAsia="Times New Roman"/>
                <w:lang w:eastAsia="hr-HR"/>
              </w:rPr>
              <w:t>Uporabna dozvola za određene građevine</w:t>
            </w:r>
          </w:p>
        </w:tc>
        <w:tc>
          <w:tcPr>
            <w:tcW w:w="1418" w:type="dxa"/>
          </w:tcPr>
          <w:p w14:paraId="274FFC79" w14:textId="77777777" w:rsidR="00765C62" w:rsidRPr="00765C62" w:rsidRDefault="00765C62" w:rsidP="00765C62">
            <w:pPr>
              <w:spacing w:line="254" w:lineRule="auto"/>
              <w:ind w:left="720"/>
              <w:contextualSpacing/>
              <w:jc w:val="right"/>
              <w:rPr>
                <w:rFonts w:eastAsia="Times New Roman"/>
                <w:lang w:eastAsia="hr-HR"/>
              </w:rPr>
            </w:pPr>
            <w:r w:rsidRPr="00765C62">
              <w:rPr>
                <w:rFonts w:eastAsia="Times New Roman"/>
                <w:lang w:eastAsia="hr-HR"/>
              </w:rPr>
              <w:t>51</w:t>
            </w:r>
          </w:p>
        </w:tc>
        <w:tc>
          <w:tcPr>
            <w:tcW w:w="1417" w:type="dxa"/>
          </w:tcPr>
          <w:p w14:paraId="42958433" w14:textId="77777777" w:rsidR="00765C62" w:rsidRPr="00765C62" w:rsidRDefault="00765C62" w:rsidP="00765C62">
            <w:pPr>
              <w:spacing w:line="254" w:lineRule="auto"/>
              <w:ind w:left="720"/>
              <w:contextualSpacing/>
              <w:jc w:val="right"/>
              <w:rPr>
                <w:rFonts w:eastAsia="Times New Roman"/>
                <w:lang w:eastAsia="hr-HR"/>
              </w:rPr>
            </w:pPr>
            <w:r w:rsidRPr="00765C62">
              <w:rPr>
                <w:rFonts w:eastAsia="Times New Roman"/>
                <w:lang w:eastAsia="hr-HR"/>
              </w:rPr>
              <w:t>30</w:t>
            </w:r>
          </w:p>
        </w:tc>
        <w:tc>
          <w:tcPr>
            <w:tcW w:w="1418" w:type="dxa"/>
          </w:tcPr>
          <w:p w14:paraId="7CFD74FC" w14:textId="77777777" w:rsidR="00765C62" w:rsidRPr="00765C62" w:rsidRDefault="00765C62" w:rsidP="00765C62">
            <w:pPr>
              <w:spacing w:line="254" w:lineRule="auto"/>
              <w:ind w:left="720"/>
              <w:contextualSpacing/>
              <w:jc w:val="right"/>
              <w:rPr>
                <w:rFonts w:eastAsia="Times New Roman"/>
                <w:lang w:eastAsia="hr-HR"/>
              </w:rPr>
            </w:pPr>
            <w:r w:rsidRPr="00765C62">
              <w:rPr>
                <w:rFonts w:eastAsia="Times New Roman"/>
                <w:lang w:eastAsia="hr-HR"/>
              </w:rPr>
              <w:t>122</w:t>
            </w:r>
          </w:p>
        </w:tc>
        <w:tc>
          <w:tcPr>
            <w:tcW w:w="1276" w:type="dxa"/>
          </w:tcPr>
          <w:p w14:paraId="227DED4C" w14:textId="77777777" w:rsidR="00765C62" w:rsidRPr="00765C62" w:rsidRDefault="00765C62" w:rsidP="00765C62">
            <w:pPr>
              <w:spacing w:line="254" w:lineRule="auto"/>
              <w:ind w:left="720"/>
              <w:contextualSpacing/>
              <w:jc w:val="right"/>
              <w:rPr>
                <w:rFonts w:eastAsia="Times New Roman"/>
                <w:lang w:eastAsia="hr-HR"/>
              </w:rPr>
            </w:pPr>
            <w:r w:rsidRPr="00765C62">
              <w:rPr>
                <w:rFonts w:eastAsia="Times New Roman"/>
                <w:lang w:eastAsia="hr-HR"/>
              </w:rPr>
              <w:t>84</w:t>
            </w:r>
          </w:p>
        </w:tc>
        <w:tc>
          <w:tcPr>
            <w:tcW w:w="1275" w:type="dxa"/>
          </w:tcPr>
          <w:p w14:paraId="540538ED" w14:textId="77777777" w:rsidR="00765C62" w:rsidRPr="00765C62" w:rsidRDefault="00765C62" w:rsidP="00765C62">
            <w:pPr>
              <w:spacing w:line="254" w:lineRule="auto"/>
              <w:ind w:left="720"/>
              <w:contextualSpacing/>
              <w:jc w:val="right"/>
              <w:rPr>
                <w:rFonts w:eastAsia="Times New Roman"/>
                <w:lang w:eastAsia="hr-HR"/>
              </w:rPr>
            </w:pPr>
            <w:r w:rsidRPr="00765C62">
              <w:rPr>
                <w:rFonts w:eastAsia="Times New Roman"/>
                <w:lang w:eastAsia="hr-HR"/>
              </w:rPr>
              <w:t>287</w:t>
            </w:r>
          </w:p>
        </w:tc>
      </w:tr>
      <w:tr w:rsidR="00412820" w:rsidRPr="00765C62" w14:paraId="42587E67" w14:textId="77777777" w:rsidTr="00412820">
        <w:tc>
          <w:tcPr>
            <w:tcW w:w="2268" w:type="dxa"/>
          </w:tcPr>
          <w:p w14:paraId="45465B3F" w14:textId="77777777" w:rsidR="00765C62" w:rsidRPr="00765C62" w:rsidRDefault="00765C62" w:rsidP="00412820">
            <w:pPr>
              <w:spacing w:line="254" w:lineRule="auto"/>
              <w:ind w:left="34"/>
              <w:contextualSpacing/>
              <w:rPr>
                <w:rFonts w:eastAsia="Times New Roman"/>
                <w:lang w:eastAsia="hr-HR"/>
              </w:rPr>
            </w:pPr>
            <w:r w:rsidRPr="00765C62">
              <w:rPr>
                <w:rFonts w:eastAsia="Times New Roman"/>
                <w:lang w:eastAsia="hr-HR"/>
              </w:rPr>
              <w:t>Rješenje o izvedenom stanju</w:t>
            </w:r>
          </w:p>
        </w:tc>
        <w:tc>
          <w:tcPr>
            <w:tcW w:w="1418" w:type="dxa"/>
          </w:tcPr>
          <w:p w14:paraId="372753F5" w14:textId="77777777" w:rsidR="00765C62" w:rsidRPr="00765C62" w:rsidRDefault="00765C62" w:rsidP="00765C62">
            <w:pPr>
              <w:spacing w:line="254" w:lineRule="auto"/>
              <w:ind w:left="720"/>
              <w:contextualSpacing/>
              <w:jc w:val="right"/>
              <w:rPr>
                <w:rFonts w:eastAsia="Times New Roman"/>
                <w:lang w:eastAsia="hr-HR"/>
              </w:rPr>
            </w:pPr>
            <w:r w:rsidRPr="00765C62">
              <w:rPr>
                <w:rFonts w:eastAsia="Times New Roman"/>
                <w:lang w:eastAsia="hr-HR"/>
              </w:rPr>
              <w:t>90</w:t>
            </w:r>
          </w:p>
        </w:tc>
        <w:tc>
          <w:tcPr>
            <w:tcW w:w="1417" w:type="dxa"/>
          </w:tcPr>
          <w:p w14:paraId="7ACCB032" w14:textId="77777777" w:rsidR="00765C62" w:rsidRPr="00765C62" w:rsidRDefault="00765C62" w:rsidP="00765C62">
            <w:pPr>
              <w:spacing w:line="254" w:lineRule="auto"/>
              <w:ind w:left="720"/>
              <w:contextualSpacing/>
              <w:jc w:val="right"/>
              <w:rPr>
                <w:rFonts w:eastAsia="Times New Roman"/>
                <w:lang w:eastAsia="hr-HR"/>
              </w:rPr>
            </w:pPr>
            <w:r w:rsidRPr="00765C62">
              <w:rPr>
                <w:rFonts w:eastAsia="Times New Roman"/>
                <w:lang w:eastAsia="hr-HR"/>
              </w:rPr>
              <w:t>48</w:t>
            </w:r>
          </w:p>
        </w:tc>
        <w:tc>
          <w:tcPr>
            <w:tcW w:w="1418" w:type="dxa"/>
          </w:tcPr>
          <w:p w14:paraId="19907856" w14:textId="77777777" w:rsidR="00765C62" w:rsidRPr="00765C62" w:rsidRDefault="00765C62" w:rsidP="00765C62">
            <w:pPr>
              <w:spacing w:line="254" w:lineRule="auto"/>
              <w:ind w:left="720"/>
              <w:contextualSpacing/>
              <w:jc w:val="right"/>
              <w:rPr>
                <w:rFonts w:eastAsia="Times New Roman"/>
                <w:lang w:eastAsia="hr-HR"/>
              </w:rPr>
            </w:pPr>
            <w:r w:rsidRPr="00765C62">
              <w:rPr>
                <w:rFonts w:eastAsia="Times New Roman"/>
                <w:lang w:eastAsia="hr-HR"/>
              </w:rPr>
              <w:t>37</w:t>
            </w:r>
          </w:p>
        </w:tc>
        <w:tc>
          <w:tcPr>
            <w:tcW w:w="1276" w:type="dxa"/>
          </w:tcPr>
          <w:p w14:paraId="56652C9E" w14:textId="77777777" w:rsidR="00765C62" w:rsidRPr="00765C62" w:rsidRDefault="00765C62" w:rsidP="00765C62">
            <w:pPr>
              <w:spacing w:line="254" w:lineRule="auto"/>
              <w:ind w:left="720"/>
              <w:contextualSpacing/>
              <w:jc w:val="right"/>
              <w:rPr>
                <w:rFonts w:eastAsia="Times New Roman"/>
                <w:lang w:eastAsia="hr-HR"/>
              </w:rPr>
            </w:pPr>
            <w:r w:rsidRPr="00765C62">
              <w:rPr>
                <w:rFonts w:eastAsia="Times New Roman"/>
                <w:lang w:eastAsia="hr-HR"/>
              </w:rPr>
              <w:t>3</w:t>
            </w:r>
          </w:p>
        </w:tc>
        <w:tc>
          <w:tcPr>
            <w:tcW w:w="1275" w:type="dxa"/>
          </w:tcPr>
          <w:p w14:paraId="026D9E24" w14:textId="77777777" w:rsidR="00765C62" w:rsidRPr="00765C62" w:rsidRDefault="00765C62" w:rsidP="00765C62">
            <w:pPr>
              <w:spacing w:line="254" w:lineRule="auto"/>
              <w:ind w:left="720"/>
              <w:contextualSpacing/>
              <w:jc w:val="right"/>
              <w:rPr>
                <w:rFonts w:eastAsia="Times New Roman"/>
                <w:lang w:eastAsia="hr-HR"/>
              </w:rPr>
            </w:pPr>
            <w:r w:rsidRPr="00765C62">
              <w:rPr>
                <w:rFonts w:eastAsia="Times New Roman"/>
                <w:lang w:eastAsia="hr-HR"/>
              </w:rPr>
              <w:t>178</w:t>
            </w:r>
          </w:p>
        </w:tc>
      </w:tr>
      <w:tr w:rsidR="00412820" w:rsidRPr="00765C62" w14:paraId="5BC6235B" w14:textId="77777777" w:rsidTr="00412820">
        <w:tc>
          <w:tcPr>
            <w:tcW w:w="2268" w:type="dxa"/>
          </w:tcPr>
          <w:p w14:paraId="57F61F85" w14:textId="77777777" w:rsidR="00765C62" w:rsidRPr="00765C62" w:rsidRDefault="00765C62" w:rsidP="00412820">
            <w:pPr>
              <w:spacing w:line="254" w:lineRule="auto"/>
              <w:ind w:left="34"/>
              <w:contextualSpacing/>
              <w:rPr>
                <w:rFonts w:eastAsia="Times New Roman"/>
                <w:lang w:eastAsia="hr-HR"/>
              </w:rPr>
            </w:pPr>
            <w:r w:rsidRPr="00765C62">
              <w:rPr>
                <w:rFonts w:eastAsia="Times New Roman"/>
                <w:lang w:eastAsia="hr-HR"/>
              </w:rPr>
              <w:t xml:space="preserve">Rješenje o </w:t>
            </w:r>
            <w:proofErr w:type="spellStart"/>
            <w:r w:rsidRPr="00765C62">
              <w:rPr>
                <w:rFonts w:eastAsia="Times New Roman"/>
                <w:lang w:eastAsia="hr-HR"/>
              </w:rPr>
              <w:t>utvrđ</w:t>
            </w:r>
            <w:proofErr w:type="spellEnd"/>
            <w:r w:rsidRPr="00765C62">
              <w:rPr>
                <w:rFonts w:eastAsia="Times New Roman"/>
                <w:lang w:eastAsia="hr-HR"/>
              </w:rPr>
              <w:t xml:space="preserve">. </w:t>
            </w:r>
            <w:proofErr w:type="spellStart"/>
            <w:r w:rsidRPr="00765C62">
              <w:rPr>
                <w:rFonts w:eastAsia="Times New Roman"/>
                <w:lang w:eastAsia="hr-HR"/>
              </w:rPr>
              <w:t>građ</w:t>
            </w:r>
            <w:proofErr w:type="spellEnd"/>
            <w:r w:rsidRPr="00765C62">
              <w:rPr>
                <w:rFonts w:eastAsia="Times New Roman"/>
                <w:lang w:eastAsia="hr-HR"/>
              </w:rPr>
              <w:t>. čestice</w:t>
            </w:r>
          </w:p>
        </w:tc>
        <w:tc>
          <w:tcPr>
            <w:tcW w:w="1418" w:type="dxa"/>
          </w:tcPr>
          <w:p w14:paraId="18240397" w14:textId="77777777" w:rsidR="00765C62" w:rsidRPr="00765C62" w:rsidRDefault="00765C62" w:rsidP="00765C62">
            <w:pPr>
              <w:spacing w:line="254" w:lineRule="auto"/>
              <w:ind w:left="720"/>
              <w:contextualSpacing/>
              <w:jc w:val="right"/>
              <w:rPr>
                <w:rFonts w:eastAsia="Times New Roman"/>
                <w:lang w:eastAsia="hr-HR"/>
              </w:rPr>
            </w:pPr>
            <w:r w:rsidRPr="00765C62">
              <w:rPr>
                <w:rFonts w:eastAsia="Times New Roman"/>
                <w:lang w:eastAsia="hr-HR"/>
              </w:rPr>
              <w:t>5</w:t>
            </w:r>
          </w:p>
        </w:tc>
        <w:tc>
          <w:tcPr>
            <w:tcW w:w="1417" w:type="dxa"/>
          </w:tcPr>
          <w:p w14:paraId="38AA7C44" w14:textId="77777777" w:rsidR="00765C62" w:rsidRPr="00765C62" w:rsidRDefault="00765C62" w:rsidP="00765C62">
            <w:pPr>
              <w:spacing w:line="254" w:lineRule="auto"/>
              <w:ind w:left="720"/>
              <w:contextualSpacing/>
              <w:jc w:val="right"/>
              <w:rPr>
                <w:rFonts w:eastAsia="Times New Roman"/>
                <w:lang w:eastAsia="hr-HR"/>
              </w:rPr>
            </w:pPr>
            <w:r w:rsidRPr="00765C62">
              <w:rPr>
                <w:rFonts w:eastAsia="Times New Roman"/>
                <w:lang w:eastAsia="hr-HR"/>
              </w:rPr>
              <w:t>3</w:t>
            </w:r>
          </w:p>
        </w:tc>
        <w:tc>
          <w:tcPr>
            <w:tcW w:w="1418" w:type="dxa"/>
          </w:tcPr>
          <w:p w14:paraId="7F6E1052" w14:textId="77777777" w:rsidR="00765C62" w:rsidRPr="00765C62" w:rsidRDefault="00765C62" w:rsidP="00765C62">
            <w:pPr>
              <w:spacing w:line="254" w:lineRule="auto"/>
              <w:ind w:left="720"/>
              <w:contextualSpacing/>
              <w:jc w:val="right"/>
              <w:rPr>
                <w:rFonts w:eastAsia="Times New Roman"/>
                <w:lang w:eastAsia="hr-HR"/>
              </w:rPr>
            </w:pPr>
            <w:r w:rsidRPr="00765C62">
              <w:rPr>
                <w:rFonts w:eastAsia="Times New Roman"/>
                <w:lang w:eastAsia="hr-HR"/>
              </w:rPr>
              <w:t>5</w:t>
            </w:r>
          </w:p>
        </w:tc>
        <w:tc>
          <w:tcPr>
            <w:tcW w:w="1276" w:type="dxa"/>
          </w:tcPr>
          <w:p w14:paraId="3C750EE7" w14:textId="77777777" w:rsidR="00765C62" w:rsidRPr="00765C62" w:rsidRDefault="00765C62" w:rsidP="00765C62">
            <w:pPr>
              <w:spacing w:line="254" w:lineRule="auto"/>
              <w:ind w:left="720"/>
              <w:contextualSpacing/>
              <w:jc w:val="right"/>
              <w:rPr>
                <w:rFonts w:eastAsia="Times New Roman"/>
                <w:lang w:eastAsia="hr-HR"/>
              </w:rPr>
            </w:pPr>
            <w:r w:rsidRPr="00765C62">
              <w:rPr>
                <w:rFonts w:eastAsia="Times New Roman"/>
                <w:lang w:eastAsia="hr-HR"/>
              </w:rPr>
              <w:t>1</w:t>
            </w:r>
          </w:p>
        </w:tc>
        <w:tc>
          <w:tcPr>
            <w:tcW w:w="1275" w:type="dxa"/>
          </w:tcPr>
          <w:p w14:paraId="71C98A28" w14:textId="77777777" w:rsidR="00765C62" w:rsidRPr="00765C62" w:rsidRDefault="00765C62" w:rsidP="00765C62">
            <w:pPr>
              <w:spacing w:line="254" w:lineRule="auto"/>
              <w:ind w:left="720"/>
              <w:contextualSpacing/>
              <w:jc w:val="right"/>
              <w:rPr>
                <w:rFonts w:eastAsia="Times New Roman"/>
                <w:lang w:eastAsia="hr-HR"/>
              </w:rPr>
            </w:pPr>
            <w:r w:rsidRPr="00765C62">
              <w:rPr>
                <w:rFonts w:eastAsia="Times New Roman"/>
                <w:lang w:eastAsia="hr-HR"/>
              </w:rPr>
              <w:t>14</w:t>
            </w:r>
          </w:p>
        </w:tc>
      </w:tr>
      <w:tr w:rsidR="00412820" w:rsidRPr="00765C62" w14:paraId="38990572" w14:textId="77777777" w:rsidTr="00412820">
        <w:tc>
          <w:tcPr>
            <w:tcW w:w="2268" w:type="dxa"/>
          </w:tcPr>
          <w:p w14:paraId="5B473997" w14:textId="30C89387" w:rsidR="00765C62" w:rsidRPr="00765C62" w:rsidRDefault="00765C62" w:rsidP="00412820">
            <w:pPr>
              <w:spacing w:line="254" w:lineRule="auto"/>
              <w:ind w:left="34"/>
              <w:contextualSpacing/>
              <w:rPr>
                <w:rFonts w:eastAsia="Times New Roman"/>
                <w:lang w:eastAsia="hr-HR"/>
              </w:rPr>
            </w:pPr>
            <w:r w:rsidRPr="00765C62">
              <w:rPr>
                <w:rFonts w:eastAsia="Times New Roman"/>
                <w:lang w:eastAsia="hr-HR"/>
              </w:rPr>
              <w:t xml:space="preserve">Prijava </w:t>
            </w:r>
            <w:proofErr w:type="spellStart"/>
            <w:r w:rsidRPr="00765C62">
              <w:rPr>
                <w:rFonts w:eastAsia="Times New Roman"/>
                <w:lang w:eastAsia="hr-HR"/>
              </w:rPr>
              <w:t>poč</w:t>
            </w:r>
            <w:proofErr w:type="spellEnd"/>
            <w:r w:rsidRPr="00765C62">
              <w:rPr>
                <w:rFonts w:eastAsia="Times New Roman"/>
                <w:lang w:eastAsia="hr-HR"/>
              </w:rPr>
              <w:t>.</w:t>
            </w:r>
            <w:r w:rsidR="00291C7C">
              <w:rPr>
                <w:rFonts w:eastAsia="Times New Roman"/>
                <w:lang w:eastAsia="hr-HR"/>
              </w:rPr>
              <w:t xml:space="preserve"> </w:t>
            </w:r>
            <w:r w:rsidRPr="00765C62">
              <w:rPr>
                <w:rFonts w:eastAsia="Times New Roman"/>
                <w:lang w:eastAsia="hr-HR"/>
              </w:rPr>
              <w:t>gradnje/uklanjanja</w:t>
            </w:r>
          </w:p>
        </w:tc>
        <w:tc>
          <w:tcPr>
            <w:tcW w:w="1418" w:type="dxa"/>
          </w:tcPr>
          <w:p w14:paraId="56794666" w14:textId="77777777" w:rsidR="00765C62" w:rsidRPr="00765C62" w:rsidRDefault="00765C62" w:rsidP="00765C62">
            <w:pPr>
              <w:spacing w:line="254" w:lineRule="auto"/>
              <w:ind w:left="720"/>
              <w:contextualSpacing/>
              <w:jc w:val="right"/>
              <w:rPr>
                <w:rFonts w:eastAsia="Times New Roman"/>
                <w:lang w:eastAsia="hr-HR"/>
              </w:rPr>
            </w:pPr>
            <w:r w:rsidRPr="00765C62">
              <w:rPr>
                <w:rFonts w:eastAsia="Times New Roman"/>
                <w:lang w:eastAsia="hr-HR"/>
              </w:rPr>
              <w:t>21</w:t>
            </w:r>
          </w:p>
        </w:tc>
        <w:tc>
          <w:tcPr>
            <w:tcW w:w="1417" w:type="dxa"/>
          </w:tcPr>
          <w:p w14:paraId="058E8A27" w14:textId="77777777" w:rsidR="00765C62" w:rsidRPr="00765C62" w:rsidRDefault="00765C62" w:rsidP="00765C62">
            <w:pPr>
              <w:spacing w:line="254" w:lineRule="auto"/>
              <w:ind w:left="720"/>
              <w:contextualSpacing/>
              <w:jc w:val="right"/>
              <w:rPr>
                <w:rFonts w:eastAsia="Times New Roman"/>
                <w:lang w:eastAsia="hr-HR"/>
              </w:rPr>
            </w:pPr>
            <w:r w:rsidRPr="00765C62">
              <w:rPr>
                <w:rFonts w:eastAsia="Times New Roman"/>
                <w:lang w:eastAsia="hr-HR"/>
              </w:rPr>
              <w:t>19</w:t>
            </w:r>
          </w:p>
        </w:tc>
        <w:tc>
          <w:tcPr>
            <w:tcW w:w="1418" w:type="dxa"/>
          </w:tcPr>
          <w:p w14:paraId="4856BE81" w14:textId="77777777" w:rsidR="00765C62" w:rsidRPr="00765C62" w:rsidRDefault="00765C62" w:rsidP="00765C62">
            <w:pPr>
              <w:spacing w:line="254" w:lineRule="auto"/>
              <w:ind w:left="720"/>
              <w:contextualSpacing/>
              <w:jc w:val="right"/>
              <w:rPr>
                <w:rFonts w:eastAsia="Times New Roman"/>
                <w:lang w:eastAsia="hr-HR"/>
              </w:rPr>
            </w:pPr>
            <w:r w:rsidRPr="00765C62">
              <w:rPr>
                <w:rFonts w:eastAsia="Times New Roman"/>
                <w:lang w:eastAsia="hr-HR"/>
              </w:rPr>
              <w:t>24</w:t>
            </w:r>
          </w:p>
        </w:tc>
        <w:tc>
          <w:tcPr>
            <w:tcW w:w="1276" w:type="dxa"/>
          </w:tcPr>
          <w:p w14:paraId="42D72784" w14:textId="77777777" w:rsidR="00765C62" w:rsidRPr="00765C62" w:rsidRDefault="00765C62" w:rsidP="00765C62">
            <w:pPr>
              <w:spacing w:line="254" w:lineRule="auto"/>
              <w:ind w:left="720"/>
              <w:contextualSpacing/>
              <w:jc w:val="right"/>
              <w:rPr>
                <w:rFonts w:eastAsia="Times New Roman"/>
                <w:lang w:eastAsia="hr-HR"/>
              </w:rPr>
            </w:pPr>
            <w:r w:rsidRPr="00765C62">
              <w:rPr>
                <w:rFonts w:eastAsia="Times New Roman"/>
                <w:lang w:eastAsia="hr-HR"/>
              </w:rPr>
              <w:t>13</w:t>
            </w:r>
          </w:p>
        </w:tc>
        <w:tc>
          <w:tcPr>
            <w:tcW w:w="1275" w:type="dxa"/>
          </w:tcPr>
          <w:p w14:paraId="5313C5D3" w14:textId="77777777" w:rsidR="00765C62" w:rsidRPr="00765C62" w:rsidRDefault="00765C62" w:rsidP="00765C62">
            <w:pPr>
              <w:spacing w:line="254" w:lineRule="auto"/>
              <w:ind w:left="720"/>
              <w:contextualSpacing/>
              <w:jc w:val="right"/>
              <w:rPr>
                <w:rFonts w:eastAsia="Times New Roman"/>
                <w:lang w:eastAsia="hr-HR"/>
              </w:rPr>
            </w:pPr>
            <w:r w:rsidRPr="00765C62">
              <w:rPr>
                <w:rFonts w:eastAsia="Times New Roman"/>
                <w:lang w:eastAsia="hr-HR"/>
              </w:rPr>
              <w:t>77</w:t>
            </w:r>
          </w:p>
        </w:tc>
      </w:tr>
      <w:tr w:rsidR="00412820" w:rsidRPr="00765C62" w14:paraId="501D5CE5" w14:textId="77777777" w:rsidTr="00412820">
        <w:tc>
          <w:tcPr>
            <w:tcW w:w="2268" w:type="dxa"/>
          </w:tcPr>
          <w:p w14:paraId="6172BF6D" w14:textId="77777777" w:rsidR="00765C62" w:rsidRPr="00765C62" w:rsidRDefault="00765C62" w:rsidP="00412820">
            <w:pPr>
              <w:spacing w:line="254" w:lineRule="auto"/>
              <w:ind w:left="34"/>
              <w:contextualSpacing/>
              <w:rPr>
                <w:rFonts w:eastAsia="Times New Roman"/>
                <w:lang w:eastAsia="hr-HR"/>
              </w:rPr>
            </w:pPr>
            <w:r w:rsidRPr="00765C62">
              <w:rPr>
                <w:rFonts w:eastAsia="Times New Roman"/>
                <w:lang w:eastAsia="hr-HR"/>
              </w:rPr>
              <w:t>Potvrda parcelacije/</w:t>
            </w:r>
            <w:proofErr w:type="spellStart"/>
            <w:r w:rsidRPr="00765C62">
              <w:rPr>
                <w:rFonts w:eastAsia="Times New Roman"/>
                <w:lang w:eastAsia="hr-HR"/>
              </w:rPr>
              <w:t>etažiranja</w:t>
            </w:r>
            <w:proofErr w:type="spellEnd"/>
          </w:p>
        </w:tc>
        <w:tc>
          <w:tcPr>
            <w:tcW w:w="1418" w:type="dxa"/>
          </w:tcPr>
          <w:p w14:paraId="0A26B0B6" w14:textId="77777777" w:rsidR="00765C62" w:rsidRPr="00765C62" w:rsidRDefault="00765C62" w:rsidP="00765C62">
            <w:pPr>
              <w:spacing w:line="254" w:lineRule="auto"/>
              <w:ind w:left="720"/>
              <w:contextualSpacing/>
              <w:jc w:val="right"/>
              <w:rPr>
                <w:rFonts w:eastAsia="Times New Roman"/>
                <w:lang w:eastAsia="hr-HR"/>
              </w:rPr>
            </w:pPr>
            <w:r w:rsidRPr="00765C62">
              <w:rPr>
                <w:rFonts w:eastAsia="Times New Roman"/>
                <w:lang w:eastAsia="hr-HR"/>
              </w:rPr>
              <w:t>4</w:t>
            </w:r>
          </w:p>
        </w:tc>
        <w:tc>
          <w:tcPr>
            <w:tcW w:w="1417" w:type="dxa"/>
          </w:tcPr>
          <w:p w14:paraId="0955F01E" w14:textId="77777777" w:rsidR="00765C62" w:rsidRPr="00765C62" w:rsidRDefault="00765C62" w:rsidP="00765C62">
            <w:pPr>
              <w:spacing w:line="254" w:lineRule="auto"/>
              <w:ind w:left="720"/>
              <w:contextualSpacing/>
              <w:jc w:val="right"/>
              <w:rPr>
                <w:rFonts w:eastAsia="Times New Roman"/>
                <w:lang w:eastAsia="hr-HR"/>
              </w:rPr>
            </w:pPr>
            <w:r w:rsidRPr="00765C62">
              <w:rPr>
                <w:rFonts w:eastAsia="Times New Roman"/>
                <w:lang w:eastAsia="hr-HR"/>
              </w:rPr>
              <w:t>1</w:t>
            </w:r>
          </w:p>
        </w:tc>
        <w:tc>
          <w:tcPr>
            <w:tcW w:w="1418" w:type="dxa"/>
          </w:tcPr>
          <w:p w14:paraId="40E952A4" w14:textId="77777777" w:rsidR="00765C62" w:rsidRPr="00765C62" w:rsidRDefault="00765C62" w:rsidP="00765C62">
            <w:pPr>
              <w:spacing w:line="254" w:lineRule="auto"/>
              <w:ind w:left="720"/>
              <w:contextualSpacing/>
              <w:jc w:val="right"/>
              <w:rPr>
                <w:rFonts w:eastAsia="Times New Roman"/>
                <w:lang w:eastAsia="hr-HR"/>
              </w:rPr>
            </w:pPr>
            <w:r w:rsidRPr="00765C62">
              <w:rPr>
                <w:rFonts w:eastAsia="Times New Roman"/>
                <w:lang w:eastAsia="hr-HR"/>
              </w:rPr>
              <w:t>8</w:t>
            </w:r>
          </w:p>
        </w:tc>
        <w:tc>
          <w:tcPr>
            <w:tcW w:w="1276" w:type="dxa"/>
          </w:tcPr>
          <w:p w14:paraId="521429B4" w14:textId="77777777" w:rsidR="00765C62" w:rsidRPr="00765C62" w:rsidRDefault="00765C62" w:rsidP="00765C62">
            <w:pPr>
              <w:spacing w:line="254" w:lineRule="auto"/>
              <w:ind w:left="720"/>
              <w:contextualSpacing/>
              <w:jc w:val="right"/>
              <w:rPr>
                <w:rFonts w:eastAsia="Times New Roman"/>
                <w:lang w:eastAsia="hr-HR"/>
              </w:rPr>
            </w:pPr>
            <w:r w:rsidRPr="00765C62">
              <w:rPr>
                <w:rFonts w:eastAsia="Times New Roman"/>
                <w:lang w:eastAsia="hr-HR"/>
              </w:rPr>
              <w:t>5</w:t>
            </w:r>
          </w:p>
        </w:tc>
        <w:tc>
          <w:tcPr>
            <w:tcW w:w="1275" w:type="dxa"/>
          </w:tcPr>
          <w:p w14:paraId="6A90CD35" w14:textId="77777777" w:rsidR="00765C62" w:rsidRPr="00765C62" w:rsidRDefault="00765C62" w:rsidP="00765C62">
            <w:pPr>
              <w:spacing w:line="254" w:lineRule="auto"/>
              <w:ind w:left="720"/>
              <w:contextualSpacing/>
              <w:jc w:val="right"/>
              <w:rPr>
                <w:rFonts w:eastAsia="Times New Roman"/>
                <w:lang w:eastAsia="hr-HR"/>
              </w:rPr>
            </w:pPr>
            <w:r w:rsidRPr="00765C62">
              <w:rPr>
                <w:rFonts w:eastAsia="Times New Roman"/>
                <w:lang w:eastAsia="hr-HR"/>
              </w:rPr>
              <w:t>18</w:t>
            </w:r>
          </w:p>
        </w:tc>
      </w:tr>
      <w:tr w:rsidR="00412820" w:rsidRPr="00765C62" w14:paraId="659EC0EC" w14:textId="77777777" w:rsidTr="00412820">
        <w:tc>
          <w:tcPr>
            <w:tcW w:w="2268" w:type="dxa"/>
          </w:tcPr>
          <w:p w14:paraId="11819396" w14:textId="77777777" w:rsidR="00765C62" w:rsidRPr="00765C62" w:rsidRDefault="00765C62" w:rsidP="00412820">
            <w:pPr>
              <w:spacing w:line="254" w:lineRule="auto"/>
              <w:ind w:left="34"/>
              <w:contextualSpacing/>
              <w:rPr>
                <w:rFonts w:eastAsia="Times New Roman"/>
                <w:lang w:eastAsia="hr-HR"/>
              </w:rPr>
            </w:pPr>
            <w:r w:rsidRPr="00765C62">
              <w:rPr>
                <w:rFonts w:eastAsia="Times New Roman"/>
                <w:lang w:eastAsia="hr-HR"/>
              </w:rPr>
              <w:t>Lokacijska informacija</w:t>
            </w:r>
          </w:p>
        </w:tc>
        <w:tc>
          <w:tcPr>
            <w:tcW w:w="1418" w:type="dxa"/>
          </w:tcPr>
          <w:p w14:paraId="3307A587" w14:textId="77777777" w:rsidR="00765C62" w:rsidRPr="00765C62" w:rsidRDefault="00765C62" w:rsidP="00765C62">
            <w:pPr>
              <w:spacing w:line="254" w:lineRule="auto"/>
              <w:ind w:left="720"/>
              <w:contextualSpacing/>
              <w:jc w:val="right"/>
              <w:rPr>
                <w:rFonts w:eastAsia="Times New Roman"/>
                <w:lang w:eastAsia="hr-HR"/>
              </w:rPr>
            </w:pPr>
            <w:r w:rsidRPr="00765C62">
              <w:rPr>
                <w:rFonts w:eastAsia="Times New Roman"/>
                <w:lang w:eastAsia="hr-HR"/>
              </w:rPr>
              <w:t>78</w:t>
            </w:r>
          </w:p>
        </w:tc>
        <w:tc>
          <w:tcPr>
            <w:tcW w:w="1417" w:type="dxa"/>
          </w:tcPr>
          <w:p w14:paraId="4766032F" w14:textId="77777777" w:rsidR="00765C62" w:rsidRPr="00765C62" w:rsidRDefault="00765C62" w:rsidP="00765C62">
            <w:pPr>
              <w:spacing w:line="254" w:lineRule="auto"/>
              <w:ind w:left="720"/>
              <w:contextualSpacing/>
              <w:jc w:val="right"/>
              <w:rPr>
                <w:rFonts w:eastAsia="Times New Roman"/>
                <w:lang w:eastAsia="hr-HR"/>
              </w:rPr>
            </w:pPr>
            <w:r w:rsidRPr="00765C62">
              <w:rPr>
                <w:rFonts w:eastAsia="Times New Roman"/>
                <w:lang w:eastAsia="hr-HR"/>
              </w:rPr>
              <w:t>21</w:t>
            </w:r>
          </w:p>
        </w:tc>
        <w:tc>
          <w:tcPr>
            <w:tcW w:w="1418" w:type="dxa"/>
          </w:tcPr>
          <w:p w14:paraId="2F95056E" w14:textId="77777777" w:rsidR="00765C62" w:rsidRPr="00765C62" w:rsidRDefault="00765C62" w:rsidP="00765C62">
            <w:pPr>
              <w:spacing w:line="254" w:lineRule="auto"/>
              <w:ind w:left="720"/>
              <w:contextualSpacing/>
              <w:jc w:val="right"/>
              <w:rPr>
                <w:rFonts w:eastAsia="Times New Roman"/>
                <w:lang w:eastAsia="hr-HR"/>
              </w:rPr>
            </w:pPr>
            <w:r w:rsidRPr="00765C62">
              <w:rPr>
                <w:rFonts w:eastAsia="Times New Roman"/>
                <w:lang w:eastAsia="hr-HR"/>
              </w:rPr>
              <w:t>45</w:t>
            </w:r>
          </w:p>
        </w:tc>
        <w:tc>
          <w:tcPr>
            <w:tcW w:w="1276" w:type="dxa"/>
          </w:tcPr>
          <w:p w14:paraId="02FE2142" w14:textId="77777777" w:rsidR="00765C62" w:rsidRPr="00765C62" w:rsidRDefault="00765C62" w:rsidP="00765C62">
            <w:pPr>
              <w:spacing w:line="254" w:lineRule="auto"/>
              <w:ind w:left="720"/>
              <w:contextualSpacing/>
              <w:jc w:val="right"/>
              <w:rPr>
                <w:rFonts w:eastAsia="Times New Roman"/>
                <w:lang w:eastAsia="hr-HR"/>
              </w:rPr>
            </w:pPr>
            <w:r w:rsidRPr="00765C62">
              <w:rPr>
                <w:rFonts w:eastAsia="Times New Roman"/>
                <w:lang w:eastAsia="hr-HR"/>
              </w:rPr>
              <w:t>46</w:t>
            </w:r>
          </w:p>
        </w:tc>
        <w:tc>
          <w:tcPr>
            <w:tcW w:w="1275" w:type="dxa"/>
          </w:tcPr>
          <w:p w14:paraId="6A4EA1B6" w14:textId="77777777" w:rsidR="00765C62" w:rsidRPr="00765C62" w:rsidRDefault="00765C62" w:rsidP="00765C62">
            <w:pPr>
              <w:spacing w:line="254" w:lineRule="auto"/>
              <w:ind w:left="720"/>
              <w:contextualSpacing/>
              <w:jc w:val="right"/>
              <w:rPr>
                <w:rFonts w:eastAsia="Times New Roman"/>
                <w:lang w:eastAsia="hr-HR"/>
              </w:rPr>
            </w:pPr>
            <w:r w:rsidRPr="00765C62">
              <w:rPr>
                <w:rFonts w:eastAsia="Times New Roman"/>
                <w:lang w:eastAsia="hr-HR"/>
              </w:rPr>
              <w:t>190</w:t>
            </w:r>
          </w:p>
        </w:tc>
      </w:tr>
      <w:tr w:rsidR="00412820" w:rsidRPr="00765C62" w14:paraId="31295304" w14:textId="77777777" w:rsidTr="00412820">
        <w:tc>
          <w:tcPr>
            <w:tcW w:w="2268" w:type="dxa"/>
          </w:tcPr>
          <w:p w14:paraId="165C0D9B" w14:textId="77777777" w:rsidR="00765C62" w:rsidRPr="00765C62" w:rsidRDefault="00765C62" w:rsidP="00412820">
            <w:pPr>
              <w:spacing w:line="254" w:lineRule="auto"/>
              <w:ind w:left="34"/>
              <w:contextualSpacing/>
              <w:rPr>
                <w:rFonts w:eastAsia="Times New Roman"/>
                <w:lang w:eastAsia="hr-HR"/>
              </w:rPr>
            </w:pPr>
            <w:r w:rsidRPr="00765C62">
              <w:rPr>
                <w:rFonts w:eastAsia="Times New Roman"/>
                <w:lang w:eastAsia="hr-HR"/>
              </w:rPr>
              <w:t>Utvrđivanje posebnih uvjeta</w:t>
            </w:r>
          </w:p>
        </w:tc>
        <w:tc>
          <w:tcPr>
            <w:tcW w:w="1418" w:type="dxa"/>
          </w:tcPr>
          <w:p w14:paraId="6482AE0D" w14:textId="77777777" w:rsidR="00765C62" w:rsidRPr="00765C62" w:rsidRDefault="00765C62" w:rsidP="00765C62">
            <w:pPr>
              <w:spacing w:line="254" w:lineRule="auto"/>
              <w:ind w:left="720"/>
              <w:contextualSpacing/>
              <w:jc w:val="right"/>
              <w:rPr>
                <w:rFonts w:eastAsia="Times New Roman"/>
                <w:lang w:eastAsia="hr-HR"/>
              </w:rPr>
            </w:pPr>
            <w:r w:rsidRPr="00765C62">
              <w:rPr>
                <w:rFonts w:eastAsia="Times New Roman"/>
                <w:lang w:eastAsia="hr-HR"/>
              </w:rPr>
              <w:t>22</w:t>
            </w:r>
          </w:p>
        </w:tc>
        <w:tc>
          <w:tcPr>
            <w:tcW w:w="1417" w:type="dxa"/>
          </w:tcPr>
          <w:p w14:paraId="045C1227" w14:textId="77777777" w:rsidR="00765C62" w:rsidRPr="00765C62" w:rsidRDefault="00765C62" w:rsidP="00765C62">
            <w:pPr>
              <w:spacing w:line="254" w:lineRule="auto"/>
              <w:ind w:left="720"/>
              <w:contextualSpacing/>
              <w:jc w:val="right"/>
              <w:rPr>
                <w:rFonts w:eastAsia="Times New Roman"/>
                <w:lang w:eastAsia="hr-HR"/>
              </w:rPr>
            </w:pPr>
            <w:r w:rsidRPr="00765C62">
              <w:rPr>
                <w:rFonts w:eastAsia="Times New Roman"/>
                <w:lang w:eastAsia="hr-HR"/>
              </w:rPr>
              <w:t>13</w:t>
            </w:r>
          </w:p>
        </w:tc>
        <w:tc>
          <w:tcPr>
            <w:tcW w:w="1418" w:type="dxa"/>
          </w:tcPr>
          <w:p w14:paraId="5B310515" w14:textId="77777777" w:rsidR="00765C62" w:rsidRPr="00765C62" w:rsidRDefault="00765C62" w:rsidP="00765C62">
            <w:pPr>
              <w:spacing w:line="254" w:lineRule="auto"/>
              <w:ind w:left="720"/>
              <w:contextualSpacing/>
              <w:jc w:val="right"/>
              <w:rPr>
                <w:rFonts w:eastAsia="Times New Roman"/>
                <w:lang w:eastAsia="hr-HR"/>
              </w:rPr>
            </w:pPr>
            <w:r w:rsidRPr="00765C62">
              <w:rPr>
                <w:rFonts w:eastAsia="Times New Roman"/>
                <w:lang w:eastAsia="hr-HR"/>
              </w:rPr>
              <w:t>32</w:t>
            </w:r>
          </w:p>
        </w:tc>
        <w:tc>
          <w:tcPr>
            <w:tcW w:w="1276" w:type="dxa"/>
          </w:tcPr>
          <w:p w14:paraId="029CE933" w14:textId="77777777" w:rsidR="00765C62" w:rsidRPr="00765C62" w:rsidRDefault="00765C62" w:rsidP="00765C62">
            <w:pPr>
              <w:spacing w:line="254" w:lineRule="auto"/>
              <w:ind w:left="720"/>
              <w:contextualSpacing/>
              <w:jc w:val="right"/>
              <w:rPr>
                <w:rFonts w:eastAsia="Times New Roman"/>
                <w:lang w:eastAsia="hr-HR"/>
              </w:rPr>
            </w:pPr>
            <w:r w:rsidRPr="00765C62">
              <w:rPr>
                <w:rFonts w:eastAsia="Times New Roman"/>
                <w:lang w:eastAsia="hr-HR"/>
              </w:rPr>
              <w:t>20</w:t>
            </w:r>
          </w:p>
        </w:tc>
        <w:tc>
          <w:tcPr>
            <w:tcW w:w="1275" w:type="dxa"/>
          </w:tcPr>
          <w:p w14:paraId="58AAF296" w14:textId="77777777" w:rsidR="00765C62" w:rsidRPr="00765C62" w:rsidRDefault="00765C62" w:rsidP="00765C62">
            <w:pPr>
              <w:spacing w:line="254" w:lineRule="auto"/>
              <w:ind w:left="720"/>
              <w:contextualSpacing/>
              <w:jc w:val="right"/>
              <w:rPr>
                <w:rFonts w:eastAsia="Times New Roman"/>
                <w:lang w:eastAsia="hr-HR"/>
              </w:rPr>
            </w:pPr>
            <w:r w:rsidRPr="00765C62">
              <w:rPr>
                <w:rFonts w:eastAsia="Times New Roman"/>
                <w:lang w:eastAsia="hr-HR"/>
              </w:rPr>
              <w:t>87</w:t>
            </w:r>
          </w:p>
        </w:tc>
      </w:tr>
      <w:tr w:rsidR="00412820" w:rsidRPr="00765C62" w14:paraId="6E23B3C6" w14:textId="77777777" w:rsidTr="00412820">
        <w:tc>
          <w:tcPr>
            <w:tcW w:w="2268" w:type="dxa"/>
          </w:tcPr>
          <w:p w14:paraId="196287DD" w14:textId="77777777" w:rsidR="00765C62" w:rsidRPr="00765C62" w:rsidRDefault="00765C62" w:rsidP="00412820">
            <w:pPr>
              <w:spacing w:line="254" w:lineRule="auto"/>
              <w:ind w:left="34"/>
              <w:contextualSpacing/>
              <w:rPr>
                <w:rFonts w:eastAsia="Times New Roman"/>
                <w:lang w:eastAsia="hr-HR"/>
              </w:rPr>
            </w:pPr>
            <w:r w:rsidRPr="00765C62">
              <w:rPr>
                <w:rFonts w:eastAsia="Times New Roman"/>
                <w:lang w:eastAsia="hr-HR"/>
              </w:rPr>
              <w:t>Uvjerenje o statusu čestice</w:t>
            </w:r>
          </w:p>
        </w:tc>
        <w:tc>
          <w:tcPr>
            <w:tcW w:w="1418" w:type="dxa"/>
          </w:tcPr>
          <w:p w14:paraId="7402E0BB" w14:textId="77777777" w:rsidR="00765C62" w:rsidRPr="00765C62" w:rsidRDefault="00765C62" w:rsidP="00765C62">
            <w:pPr>
              <w:spacing w:line="254" w:lineRule="auto"/>
              <w:ind w:left="720"/>
              <w:contextualSpacing/>
              <w:jc w:val="right"/>
              <w:rPr>
                <w:rFonts w:eastAsia="Times New Roman"/>
                <w:lang w:eastAsia="hr-HR"/>
              </w:rPr>
            </w:pPr>
            <w:r w:rsidRPr="00765C62">
              <w:rPr>
                <w:rFonts w:eastAsia="Times New Roman"/>
                <w:lang w:eastAsia="hr-HR"/>
              </w:rPr>
              <w:t>63</w:t>
            </w:r>
          </w:p>
        </w:tc>
        <w:tc>
          <w:tcPr>
            <w:tcW w:w="1417" w:type="dxa"/>
          </w:tcPr>
          <w:p w14:paraId="2D744FA9" w14:textId="77777777" w:rsidR="00765C62" w:rsidRPr="00765C62" w:rsidRDefault="00765C62" w:rsidP="00765C62">
            <w:pPr>
              <w:spacing w:line="254" w:lineRule="auto"/>
              <w:ind w:left="720"/>
              <w:contextualSpacing/>
              <w:jc w:val="right"/>
              <w:rPr>
                <w:rFonts w:eastAsia="Times New Roman"/>
                <w:lang w:eastAsia="hr-HR"/>
              </w:rPr>
            </w:pPr>
            <w:r w:rsidRPr="00765C62">
              <w:rPr>
                <w:rFonts w:eastAsia="Times New Roman"/>
                <w:lang w:eastAsia="hr-HR"/>
              </w:rPr>
              <w:t>35</w:t>
            </w:r>
          </w:p>
        </w:tc>
        <w:tc>
          <w:tcPr>
            <w:tcW w:w="1418" w:type="dxa"/>
          </w:tcPr>
          <w:p w14:paraId="6220C542" w14:textId="77777777" w:rsidR="00765C62" w:rsidRPr="00765C62" w:rsidRDefault="00765C62" w:rsidP="00765C62">
            <w:pPr>
              <w:spacing w:line="254" w:lineRule="auto"/>
              <w:ind w:left="720"/>
              <w:contextualSpacing/>
              <w:jc w:val="right"/>
              <w:rPr>
                <w:rFonts w:eastAsia="Times New Roman"/>
                <w:lang w:eastAsia="hr-HR"/>
              </w:rPr>
            </w:pPr>
            <w:r w:rsidRPr="00765C62">
              <w:rPr>
                <w:rFonts w:eastAsia="Times New Roman"/>
                <w:lang w:eastAsia="hr-HR"/>
              </w:rPr>
              <w:t>58</w:t>
            </w:r>
          </w:p>
        </w:tc>
        <w:tc>
          <w:tcPr>
            <w:tcW w:w="1276" w:type="dxa"/>
          </w:tcPr>
          <w:p w14:paraId="1E3C5E07" w14:textId="77777777" w:rsidR="00765C62" w:rsidRPr="00765C62" w:rsidRDefault="00765C62" w:rsidP="00765C62">
            <w:pPr>
              <w:spacing w:line="254" w:lineRule="auto"/>
              <w:ind w:left="720"/>
              <w:contextualSpacing/>
              <w:jc w:val="right"/>
              <w:rPr>
                <w:rFonts w:eastAsia="Times New Roman"/>
                <w:lang w:eastAsia="hr-HR"/>
              </w:rPr>
            </w:pPr>
            <w:r w:rsidRPr="00765C62">
              <w:rPr>
                <w:rFonts w:eastAsia="Times New Roman"/>
                <w:lang w:eastAsia="hr-HR"/>
              </w:rPr>
              <w:t>67</w:t>
            </w:r>
          </w:p>
        </w:tc>
        <w:tc>
          <w:tcPr>
            <w:tcW w:w="1275" w:type="dxa"/>
          </w:tcPr>
          <w:p w14:paraId="0CEFFF59" w14:textId="77777777" w:rsidR="00765C62" w:rsidRPr="00765C62" w:rsidRDefault="00765C62" w:rsidP="00765C62">
            <w:pPr>
              <w:spacing w:line="254" w:lineRule="auto"/>
              <w:ind w:left="720"/>
              <w:contextualSpacing/>
              <w:jc w:val="right"/>
              <w:rPr>
                <w:rFonts w:eastAsia="Times New Roman"/>
                <w:lang w:eastAsia="hr-HR"/>
              </w:rPr>
            </w:pPr>
            <w:r w:rsidRPr="00765C62">
              <w:rPr>
                <w:rFonts w:eastAsia="Times New Roman"/>
                <w:lang w:eastAsia="hr-HR"/>
              </w:rPr>
              <w:t>223</w:t>
            </w:r>
          </w:p>
        </w:tc>
      </w:tr>
      <w:tr w:rsidR="00412820" w:rsidRPr="00765C62" w14:paraId="00C95025" w14:textId="77777777" w:rsidTr="00412820">
        <w:tc>
          <w:tcPr>
            <w:tcW w:w="2268" w:type="dxa"/>
          </w:tcPr>
          <w:p w14:paraId="6AB4A6D7" w14:textId="77777777" w:rsidR="00765C62" w:rsidRPr="00765C62" w:rsidRDefault="00765C62" w:rsidP="00412820">
            <w:pPr>
              <w:spacing w:line="254" w:lineRule="auto"/>
              <w:ind w:left="34"/>
              <w:contextualSpacing/>
              <w:rPr>
                <w:rFonts w:eastAsia="Times New Roman"/>
                <w:lang w:eastAsia="hr-HR"/>
              </w:rPr>
            </w:pPr>
            <w:r w:rsidRPr="00765C62">
              <w:rPr>
                <w:rFonts w:eastAsia="Times New Roman"/>
                <w:lang w:eastAsia="hr-HR"/>
              </w:rPr>
              <w:t>Akti iz područja gradnje</w:t>
            </w:r>
          </w:p>
        </w:tc>
        <w:tc>
          <w:tcPr>
            <w:tcW w:w="1418" w:type="dxa"/>
          </w:tcPr>
          <w:p w14:paraId="2F71864F" w14:textId="77777777" w:rsidR="00765C62" w:rsidRPr="00765C62" w:rsidRDefault="00765C62" w:rsidP="00765C62">
            <w:pPr>
              <w:spacing w:line="254" w:lineRule="auto"/>
              <w:ind w:left="720"/>
              <w:contextualSpacing/>
              <w:jc w:val="right"/>
              <w:rPr>
                <w:rFonts w:eastAsia="Times New Roman"/>
                <w:lang w:eastAsia="hr-HR"/>
              </w:rPr>
            </w:pPr>
            <w:r w:rsidRPr="00765C62">
              <w:rPr>
                <w:rFonts w:eastAsia="Times New Roman"/>
                <w:lang w:eastAsia="hr-HR"/>
              </w:rPr>
              <w:t>7</w:t>
            </w:r>
          </w:p>
        </w:tc>
        <w:tc>
          <w:tcPr>
            <w:tcW w:w="1417" w:type="dxa"/>
          </w:tcPr>
          <w:p w14:paraId="313A565F" w14:textId="77777777" w:rsidR="00765C62" w:rsidRPr="00765C62" w:rsidRDefault="00765C62" w:rsidP="00765C62">
            <w:pPr>
              <w:spacing w:line="254" w:lineRule="auto"/>
              <w:ind w:left="720"/>
              <w:contextualSpacing/>
              <w:jc w:val="right"/>
              <w:rPr>
                <w:rFonts w:eastAsia="Times New Roman"/>
                <w:lang w:eastAsia="hr-HR"/>
              </w:rPr>
            </w:pPr>
            <w:r w:rsidRPr="00765C62">
              <w:rPr>
                <w:rFonts w:eastAsia="Times New Roman"/>
                <w:lang w:eastAsia="hr-HR"/>
              </w:rPr>
              <w:t>4</w:t>
            </w:r>
          </w:p>
        </w:tc>
        <w:tc>
          <w:tcPr>
            <w:tcW w:w="1418" w:type="dxa"/>
          </w:tcPr>
          <w:p w14:paraId="261053E7" w14:textId="77777777" w:rsidR="00765C62" w:rsidRPr="00765C62" w:rsidRDefault="00765C62" w:rsidP="00765C62">
            <w:pPr>
              <w:spacing w:line="254" w:lineRule="auto"/>
              <w:ind w:left="720"/>
              <w:contextualSpacing/>
              <w:jc w:val="right"/>
              <w:rPr>
                <w:rFonts w:eastAsia="Times New Roman"/>
                <w:lang w:eastAsia="hr-HR"/>
              </w:rPr>
            </w:pPr>
            <w:r w:rsidRPr="00765C62">
              <w:rPr>
                <w:rFonts w:eastAsia="Times New Roman"/>
                <w:lang w:eastAsia="hr-HR"/>
              </w:rPr>
              <w:t>30</w:t>
            </w:r>
          </w:p>
        </w:tc>
        <w:tc>
          <w:tcPr>
            <w:tcW w:w="1276" w:type="dxa"/>
          </w:tcPr>
          <w:p w14:paraId="5B6F9324" w14:textId="77777777" w:rsidR="00765C62" w:rsidRPr="00765C62" w:rsidRDefault="00765C62" w:rsidP="00765C62">
            <w:pPr>
              <w:spacing w:line="254" w:lineRule="auto"/>
              <w:ind w:left="720"/>
              <w:contextualSpacing/>
              <w:jc w:val="right"/>
              <w:rPr>
                <w:rFonts w:eastAsia="Times New Roman"/>
                <w:lang w:eastAsia="hr-HR"/>
              </w:rPr>
            </w:pPr>
            <w:r w:rsidRPr="00765C62">
              <w:rPr>
                <w:rFonts w:eastAsia="Times New Roman"/>
                <w:lang w:eastAsia="hr-HR"/>
              </w:rPr>
              <w:t>12</w:t>
            </w:r>
          </w:p>
        </w:tc>
        <w:tc>
          <w:tcPr>
            <w:tcW w:w="1275" w:type="dxa"/>
          </w:tcPr>
          <w:p w14:paraId="626CBE31" w14:textId="77777777" w:rsidR="00765C62" w:rsidRPr="00765C62" w:rsidRDefault="00765C62" w:rsidP="00765C62">
            <w:pPr>
              <w:spacing w:line="254" w:lineRule="auto"/>
              <w:ind w:left="720"/>
              <w:contextualSpacing/>
              <w:jc w:val="right"/>
              <w:rPr>
                <w:rFonts w:eastAsia="Times New Roman"/>
                <w:lang w:eastAsia="hr-HR"/>
              </w:rPr>
            </w:pPr>
            <w:r w:rsidRPr="00765C62">
              <w:rPr>
                <w:rFonts w:eastAsia="Times New Roman"/>
                <w:lang w:eastAsia="hr-HR"/>
              </w:rPr>
              <w:t>53</w:t>
            </w:r>
          </w:p>
        </w:tc>
      </w:tr>
      <w:tr w:rsidR="00412820" w:rsidRPr="00765C62" w14:paraId="6FC3F32B" w14:textId="77777777" w:rsidTr="00412820">
        <w:tc>
          <w:tcPr>
            <w:tcW w:w="2268" w:type="dxa"/>
          </w:tcPr>
          <w:p w14:paraId="461455F6" w14:textId="06DAC06E" w:rsidR="00765C62" w:rsidRPr="00765C62" w:rsidRDefault="00765C62" w:rsidP="00412820">
            <w:pPr>
              <w:spacing w:line="254" w:lineRule="auto"/>
              <w:ind w:left="34"/>
              <w:contextualSpacing/>
              <w:rPr>
                <w:rFonts w:eastAsia="Times New Roman"/>
                <w:lang w:eastAsia="hr-HR"/>
              </w:rPr>
            </w:pPr>
            <w:r w:rsidRPr="00765C62">
              <w:rPr>
                <w:rFonts w:eastAsia="Times New Roman"/>
                <w:lang w:eastAsia="hr-HR"/>
              </w:rPr>
              <w:t xml:space="preserve">Akti iz područja prostor. </w:t>
            </w:r>
            <w:proofErr w:type="spellStart"/>
            <w:r w:rsidRPr="00765C62">
              <w:rPr>
                <w:rFonts w:eastAsia="Times New Roman"/>
                <w:lang w:eastAsia="hr-HR"/>
              </w:rPr>
              <w:t>uređ</w:t>
            </w:r>
            <w:proofErr w:type="spellEnd"/>
            <w:r w:rsidRPr="00765C62">
              <w:rPr>
                <w:rFonts w:eastAsia="Times New Roman"/>
                <w:lang w:eastAsia="hr-HR"/>
              </w:rPr>
              <w:t>.</w:t>
            </w:r>
          </w:p>
        </w:tc>
        <w:tc>
          <w:tcPr>
            <w:tcW w:w="1418" w:type="dxa"/>
          </w:tcPr>
          <w:p w14:paraId="153292E4" w14:textId="77777777" w:rsidR="00765C62" w:rsidRPr="00765C62" w:rsidRDefault="00765C62" w:rsidP="00765C62">
            <w:pPr>
              <w:spacing w:line="254" w:lineRule="auto"/>
              <w:ind w:left="720"/>
              <w:contextualSpacing/>
              <w:jc w:val="right"/>
              <w:rPr>
                <w:rFonts w:eastAsia="Times New Roman"/>
                <w:lang w:eastAsia="hr-HR"/>
              </w:rPr>
            </w:pPr>
            <w:r w:rsidRPr="00765C62">
              <w:rPr>
                <w:rFonts w:eastAsia="Times New Roman"/>
                <w:lang w:eastAsia="hr-HR"/>
              </w:rPr>
              <w:t>8</w:t>
            </w:r>
          </w:p>
        </w:tc>
        <w:tc>
          <w:tcPr>
            <w:tcW w:w="1417" w:type="dxa"/>
          </w:tcPr>
          <w:p w14:paraId="5039EF92" w14:textId="77777777" w:rsidR="00765C62" w:rsidRPr="00765C62" w:rsidRDefault="00765C62" w:rsidP="00765C62">
            <w:pPr>
              <w:spacing w:line="254" w:lineRule="auto"/>
              <w:ind w:left="720"/>
              <w:contextualSpacing/>
              <w:jc w:val="right"/>
              <w:rPr>
                <w:rFonts w:eastAsia="Times New Roman"/>
                <w:lang w:eastAsia="hr-HR"/>
              </w:rPr>
            </w:pPr>
            <w:r w:rsidRPr="00765C62">
              <w:rPr>
                <w:rFonts w:eastAsia="Times New Roman"/>
                <w:lang w:eastAsia="hr-HR"/>
              </w:rPr>
              <w:t>6</w:t>
            </w:r>
          </w:p>
        </w:tc>
        <w:tc>
          <w:tcPr>
            <w:tcW w:w="1418" w:type="dxa"/>
          </w:tcPr>
          <w:p w14:paraId="59A89D76" w14:textId="77777777" w:rsidR="00765C62" w:rsidRPr="00765C62" w:rsidRDefault="00765C62" w:rsidP="00765C62">
            <w:pPr>
              <w:spacing w:line="254" w:lineRule="auto"/>
              <w:ind w:left="720"/>
              <w:contextualSpacing/>
              <w:jc w:val="right"/>
              <w:rPr>
                <w:rFonts w:eastAsia="Times New Roman"/>
                <w:lang w:eastAsia="hr-HR"/>
              </w:rPr>
            </w:pPr>
            <w:r w:rsidRPr="00765C62">
              <w:rPr>
                <w:rFonts w:eastAsia="Times New Roman"/>
                <w:lang w:eastAsia="hr-HR"/>
              </w:rPr>
              <w:t>46</w:t>
            </w:r>
          </w:p>
        </w:tc>
        <w:tc>
          <w:tcPr>
            <w:tcW w:w="1276" w:type="dxa"/>
          </w:tcPr>
          <w:p w14:paraId="34ADA783" w14:textId="77777777" w:rsidR="00765C62" w:rsidRPr="00765C62" w:rsidRDefault="00765C62" w:rsidP="00765C62">
            <w:pPr>
              <w:spacing w:line="254" w:lineRule="auto"/>
              <w:ind w:left="720"/>
              <w:contextualSpacing/>
              <w:jc w:val="right"/>
              <w:rPr>
                <w:rFonts w:eastAsia="Times New Roman"/>
                <w:lang w:eastAsia="hr-HR"/>
              </w:rPr>
            </w:pPr>
            <w:r w:rsidRPr="00765C62">
              <w:rPr>
                <w:rFonts w:eastAsia="Times New Roman"/>
                <w:lang w:eastAsia="hr-HR"/>
              </w:rPr>
              <w:t>33</w:t>
            </w:r>
          </w:p>
        </w:tc>
        <w:tc>
          <w:tcPr>
            <w:tcW w:w="1275" w:type="dxa"/>
          </w:tcPr>
          <w:p w14:paraId="050018CC" w14:textId="77777777" w:rsidR="00765C62" w:rsidRPr="00765C62" w:rsidRDefault="00765C62" w:rsidP="00765C62">
            <w:pPr>
              <w:spacing w:line="254" w:lineRule="auto"/>
              <w:ind w:left="720"/>
              <w:contextualSpacing/>
              <w:jc w:val="right"/>
              <w:rPr>
                <w:rFonts w:eastAsia="Times New Roman"/>
                <w:lang w:eastAsia="hr-HR"/>
              </w:rPr>
            </w:pPr>
            <w:r w:rsidRPr="00765C62">
              <w:rPr>
                <w:rFonts w:eastAsia="Times New Roman"/>
                <w:lang w:eastAsia="hr-HR"/>
              </w:rPr>
              <w:t>93</w:t>
            </w:r>
          </w:p>
        </w:tc>
      </w:tr>
      <w:tr w:rsidR="00412820" w:rsidRPr="00765C62" w14:paraId="5828A34E" w14:textId="77777777" w:rsidTr="00412820">
        <w:tc>
          <w:tcPr>
            <w:tcW w:w="2268" w:type="dxa"/>
          </w:tcPr>
          <w:p w14:paraId="4B54A724" w14:textId="77777777" w:rsidR="00765C62" w:rsidRPr="00765C62" w:rsidRDefault="00765C62" w:rsidP="00412820">
            <w:pPr>
              <w:spacing w:line="254" w:lineRule="auto"/>
              <w:ind w:left="34"/>
              <w:contextualSpacing/>
              <w:rPr>
                <w:rFonts w:eastAsia="Times New Roman"/>
                <w:lang w:eastAsia="hr-HR"/>
              </w:rPr>
            </w:pPr>
            <w:r w:rsidRPr="00765C62">
              <w:rPr>
                <w:rFonts w:eastAsia="Times New Roman"/>
                <w:lang w:eastAsia="hr-HR"/>
              </w:rPr>
              <w:t>Potvrda glavnog projekta</w:t>
            </w:r>
          </w:p>
        </w:tc>
        <w:tc>
          <w:tcPr>
            <w:tcW w:w="1418" w:type="dxa"/>
          </w:tcPr>
          <w:p w14:paraId="099CE6EC" w14:textId="77777777" w:rsidR="00765C62" w:rsidRPr="00765C62" w:rsidRDefault="00765C62" w:rsidP="00765C62">
            <w:pPr>
              <w:spacing w:line="254" w:lineRule="auto"/>
              <w:ind w:left="720"/>
              <w:contextualSpacing/>
              <w:jc w:val="right"/>
              <w:rPr>
                <w:rFonts w:eastAsia="Times New Roman"/>
                <w:lang w:eastAsia="hr-HR"/>
              </w:rPr>
            </w:pPr>
            <w:r w:rsidRPr="00765C62">
              <w:rPr>
                <w:rFonts w:eastAsia="Times New Roman"/>
                <w:lang w:eastAsia="hr-HR"/>
              </w:rPr>
              <w:t>3</w:t>
            </w:r>
          </w:p>
        </w:tc>
        <w:tc>
          <w:tcPr>
            <w:tcW w:w="1417" w:type="dxa"/>
          </w:tcPr>
          <w:p w14:paraId="6353B337" w14:textId="77777777" w:rsidR="00765C62" w:rsidRPr="00765C62" w:rsidRDefault="00765C62" w:rsidP="00765C62">
            <w:pPr>
              <w:spacing w:line="254" w:lineRule="auto"/>
              <w:ind w:left="720"/>
              <w:contextualSpacing/>
              <w:jc w:val="right"/>
              <w:rPr>
                <w:rFonts w:eastAsia="Times New Roman"/>
                <w:lang w:eastAsia="hr-HR"/>
              </w:rPr>
            </w:pPr>
            <w:r w:rsidRPr="00765C62">
              <w:rPr>
                <w:rFonts w:eastAsia="Times New Roman"/>
                <w:lang w:eastAsia="hr-HR"/>
              </w:rPr>
              <w:t>0</w:t>
            </w:r>
          </w:p>
        </w:tc>
        <w:tc>
          <w:tcPr>
            <w:tcW w:w="1418" w:type="dxa"/>
          </w:tcPr>
          <w:p w14:paraId="1D0F29C3" w14:textId="77777777" w:rsidR="00765C62" w:rsidRPr="00765C62" w:rsidRDefault="00765C62" w:rsidP="00765C62">
            <w:pPr>
              <w:spacing w:line="254" w:lineRule="auto"/>
              <w:ind w:left="720"/>
              <w:contextualSpacing/>
              <w:jc w:val="right"/>
              <w:rPr>
                <w:rFonts w:eastAsia="Times New Roman"/>
                <w:lang w:eastAsia="hr-HR"/>
              </w:rPr>
            </w:pPr>
            <w:r w:rsidRPr="00765C62">
              <w:rPr>
                <w:rFonts w:eastAsia="Times New Roman"/>
                <w:lang w:eastAsia="hr-HR"/>
              </w:rPr>
              <w:t>4</w:t>
            </w:r>
          </w:p>
        </w:tc>
        <w:tc>
          <w:tcPr>
            <w:tcW w:w="1276" w:type="dxa"/>
          </w:tcPr>
          <w:p w14:paraId="69C1DD14" w14:textId="77777777" w:rsidR="00765C62" w:rsidRPr="00765C62" w:rsidRDefault="00765C62" w:rsidP="00765C62">
            <w:pPr>
              <w:spacing w:line="254" w:lineRule="auto"/>
              <w:ind w:left="720"/>
              <w:contextualSpacing/>
              <w:jc w:val="right"/>
              <w:rPr>
                <w:rFonts w:eastAsia="Times New Roman"/>
                <w:lang w:eastAsia="hr-HR"/>
              </w:rPr>
            </w:pPr>
            <w:r w:rsidRPr="00765C62">
              <w:rPr>
                <w:rFonts w:eastAsia="Times New Roman"/>
                <w:lang w:eastAsia="hr-HR"/>
              </w:rPr>
              <w:t>0</w:t>
            </w:r>
          </w:p>
        </w:tc>
        <w:tc>
          <w:tcPr>
            <w:tcW w:w="1275" w:type="dxa"/>
          </w:tcPr>
          <w:p w14:paraId="4D4B2DCB" w14:textId="77777777" w:rsidR="00765C62" w:rsidRPr="00765C62" w:rsidRDefault="00765C62" w:rsidP="00765C62">
            <w:pPr>
              <w:spacing w:line="254" w:lineRule="auto"/>
              <w:ind w:left="720"/>
              <w:contextualSpacing/>
              <w:jc w:val="right"/>
              <w:rPr>
                <w:rFonts w:eastAsia="Times New Roman"/>
                <w:lang w:eastAsia="hr-HR"/>
              </w:rPr>
            </w:pPr>
            <w:r w:rsidRPr="00765C62">
              <w:rPr>
                <w:rFonts w:eastAsia="Times New Roman"/>
                <w:lang w:eastAsia="hr-HR"/>
              </w:rPr>
              <w:t>7</w:t>
            </w:r>
          </w:p>
        </w:tc>
      </w:tr>
      <w:tr w:rsidR="00412820" w:rsidRPr="00765C62" w14:paraId="6B5D5811" w14:textId="77777777" w:rsidTr="00412820">
        <w:tc>
          <w:tcPr>
            <w:tcW w:w="2268" w:type="dxa"/>
          </w:tcPr>
          <w:p w14:paraId="2A0DCA05" w14:textId="77777777" w:rsidR="00765C62" w:rsidRPr="00765C62" w:rsidRDefault="00765C62" w:rsidP="00412820">
            <w:pPr>
              <w:spacing w:line="254" w:lineRule="auto"/>
              <w:ind w:left="34"/>
              <w:contextualSpacing/>
              <w:rPr>
                <w:rFonts w:eastAsia="Times New Roman"/>
                <w:lang w:eastAsia="hr-HR"/>
              </w:rPr>
            </w:pPr>
            <w:r w:rsidRPr="00765C62">
              <w:rPr>
                <w:rFonts w:eastAsia="Times New Roman"/>
                <w:lang w:eastAsia="hr-HR"/>
              </w:rPr>
              <w:lastRenderedPageBreak/>
              <w:t>ostalo</w:t>
            </w:r>
          </w:p>
        </w:tc>
        <w:tc>
          <w:tcPr>
            <w:tcW w:w="1418" w:type="dxa"/>
          </w:tcPr>
          <w:p w14:paraId="6E0BDDC2" w14:textId="77777777" w:rsidR="00765C62" w:rsidRPr="00765C62" w:rsidRDefault="00765C62" w:rsidP="00765C62">
            <w:pPr>
              <w:spacing w:line="254" w:lineRule="auto"/>
              <w:ind w:left="720"/>
              <w:contextualSpacing/>
              <w:jc w:val="right"/>
              <w:rPr>
                <w:rFonts w:eastAsia="Times New Roman"/>
                <w:lang w:eastAsia="hr-HR"/>
              </w:rPr>
            </w:pPr>
            <w:r w:rsidRPr="00765C62">
              <w:rPr>
                <w:rFonts w:eastAsia="Times New Roman"/>
                <w:lang w:eastAsia="hr-HR"/>
              </w:rPr>
              <w:t>47</w:t>
            </w:r>
          </w:p>
        </w:tc>
        <w:tc>
          <w:tcPr>
            <w:tcW w:w="1417" w:type="dxa"/>
          </w:tcPr>
          <w:p w14:paraId="5847414E" w14:textId="77777777" w:rsidR="00765C62" w:rsidRPr="00765C62" w:rsidRDefault="00765C62" w:rsidP="00765C62">
            <w:pPr>
              <w:spacing w:line="254" w:lineRule="auto"/>
              <w:ind w:left="720"/>
              <w:contextualSpacing/>
              <w:jc w:val="right"/>
              <w:rPr>
                <w:rFonts w:eastAsia="Times New Roman"/>
                <w:lang w:eastAsia="hr-HR"/>
              </w:rPr>
            </w:pPr>
            <w:r w:rsidRPr="00765C62">
              <w:rPr>
                <w:rFonts w:eastAsia="Times New Roman"/>
                <w:lang w:eastAsia="hr-HR"/>
              </w:rPr>
              <w:t>0</w:t>
            </w:r>
          </w:p>
        </w:tc>
        <w:tc>
          <w:tcPr>
            <w:tcW w:w="1418" w:type="dxa"/>
          </w:tcPr>
          <w:p w14:paraId="40A1217B" w14:textId="77777777" w:rsidR="00765C62" w:rsidRPr="00765C62" w:rsidRDefault="00765C62" w:rsidP="00765C62">
            <w:pPr>
              <w:spacing w:line="254" w:lineRule="auto"/>
              <w:ind w:left="720"/>
              <w:contextualSpacing/>
              <w:jc w:val="right"/>
              <w:rPr>
                <w:rFonts w:eastAsia="Times New Roman"/>
                <w:lang w:eastAsia="hr-HR"/>
              </w:rPr>
            </w:pPr>
            <w:r w:rsidRPr="00765C62">
              <w:rPr>
                <w:rFonts w:eastAsia="Times New Roman"/>
                <w:lang w:eastAsia="hr-HR"/>
              </w:rPr>
              <w:t>0</w:t>
            </w:r>
          </w:p>
        </w:tc>
        <w:tc>
          <w:tcPr>
            <w:tcW w:w="1276" w:type="dxa"/>
          </w:tcPr>
          <w:p w14:paraId="008E44DA" w14:textId="77777777" w:rsidR="00765C62" w:rsidRPr="00765C62" w:rsidRDefault="00765C62" w:rsidP="00765C62">
            <w:pPr>
              <w:spacing w:line="254" w:lineRule="auto"/>
              <w:ind w:left="720"/>
              <w:contextualSpacing/>
              <w:jc w:val="right"/>
              <w:rPr>
                <w:rFonts w:eastAsia="Times New Roman"/>
                <w:lang w:eastAsia="hr-HR"/>
              </w:rPr>
            </w:pPr>
            <w:r w:rsidRPr="00765C62">
              <w:rPr>
                <w:rFonts w:eastAsia="Times New Roman"/>
                <w:lang w:eastAsia="hr-HR"/>
              </w:rPr>
              <w:t>50</w:t>
            </w:r>
          </w:p>
        </w:tc>
        <w:tc>
          <w:tcPr>
            <w:tcW w:w="1275" w:type="dxa"/>
          </w:tcPr>
          <w:p w14:paraId="6CF41883" w14:textId="77777777" w:rsidR="00765C62" w:rsidRPr="00765C62" w:rsidRDefault="00765C62" w:rsidP="00765C62">
            <w:pPr>
              <w:spacing w:line="254" w:lineRule="auto"/>
              <w:ind w:left="720"/>
              <w:contextualSpacing/>
              <w:jc w:val="right"/>
              <w:rPr>
                <w:rFonts w:eastAsia="Times New Roman"/>
                <w:lang w:eastAsia="hr-HR"/>
              </w:rPr>
            </w:pPr>
            <w:r w:rsidRPr="00765C62">
              <w:rPr>
                <w:rFonts w:eastAsia="Times New Roman"/>
                <w:lang w:eastAsia="hr-HR"/>
              </w:rPr>
              <w:t>97</w:t>
            </w:r>
          </w:p>
        </w:tc>
      </w:tr>
      <w:tr w:rsidR="00412820" w:rsidRPr="00765C62" w14:paraId="7AE858E3" w14:textId="77777777" w:rsidTr="00412820">
        <w:tc>
          <w:tcPr>
            <w:tcW w:w="2268" w:type="dxa"/>
          </w:tcPr>
          <w:p w14:paraId="770880EE" w14:textId="77777777" w:rsidR="00765C62" w:rsidRPr="00765C62" w:rsidRDefault="00765C62" w:rsidP="00412820">
            <w:pPr>
              <w:spacing w:line="254" w:lineRule="auto"/>
              <w:ind w:left="34"/>
              <w:contextualSpacing/>
              <w:rPr>
                <w:rFonts w:eastAsia="Times New Roman"/>
                <w:lang w:eastAsia="hr-HR"/>
              </w:rPr>
            </w:pPr>
            <w:r w:rsidRPr="00765C62">
              <w:rPr>
                <w:rFonts w:eastAsia="Times New Roman"/>
                <w:lang w:eastAsia="hr-HR"/>
              </w:rPr>
              <w:t>UKUPNO IZDANO AKATA</w:t>
            </w:r>
          </w:p>
        </w:tc>
        <w:tc>
          <w:tcPr>
            <w:tcW w:w="1418" w:type="dxa"/>
          </w:tcPr>
          <w:p w14:paraId="1C4714F0" w14:textId="77777777" w:rsidR="00765C62" w:rsidRPr="00765C62" w:rsidRDefault="00765C62" w:rsidP="00765C62">
            <w:pPr>
              <w:spacing w:line="254" w:lineRule="auto"/>
              <w:ind w:left="720"/>
              <w:contextualSpacing/>
              <w:jc w:val="right"/>
              <w:rPr>
                <w:rFonts w:eastAsia="Times New Roman"/>
                <w:lang w:eastAsia="hr-HR"/>
              </w:rPr>
            </w:pPr>
            <w:r w:rsidRPr="00765C62">
              <w:rPr>
                <w:rFonts w:eastAsia="Times New Roman"/>
                <w:lang w:eastAsia="hr-HR"/>
              </w:rPr>
              <w:t>437</w:t>
            </w:r>
          </w:p>
        </w:tc>
        <w:tc>
          <w:tcPr>
            <w:tcW w:w="1417" w:type="dxa"/>
          </w:tcPr>
          <w:p w14:paraId="6DFAF302" w14:textId="77777777" w:rsidR="00765C62" w:rsidRPr="00765C62" w:rsidRDefault="00765C62" w:rsidP="00765C62">
            <w:pPr>
              <w:spacing w:line="254" w:lineRule="auto"/>
              <w:ind w:left="720"/>
              <w:contextualSpacing/>
              <w:jc w:val="right"/>
              <w:rPr>
                <w:rFonts w:eastAsia="Times New Roman"/>
                <w:lang w:eastAsia="hr-HR"/>
              </w:rPr>
            </w:pPr>
            <w:r w:rsidRPr="00765C62">
              <w:rPr>
                <w:rFonts w:eastAsia="Times New Roman"/>
                <w:lang w:eastAsia="hr-HR"/>
              </w:rPr>
              <w:t>215</w:t>
            </w:r>
          </w:p>
        </w:tc>
        <w:tc>
          <w:tcPr>
            <w:tcW w:w="1418" w:type="dxa"/>
          </w:tcPr>
          <w:p w14:paraId="4F4979EE" w14:textId="77777777" w:rsidR="00765C62" w:rsidRPr="00765C62" w:rsidRDefault="00765C62" w:rsidP="00765C62">
            <w:pPr>
              <w:spacing w:line="254" w:lineRule="auto"/>
              <w:ind w:left="720"/>
              <w:contextualSpacing/>
              <w:jc w:val="right"/>
              <w:rPr>
                <w:rFonts w:eastAsia="Times New Roman"/>
                <w:lang w:eastAsia="hr-HR"/>
              </w:rPr>
            </w:pPr>
            <w:r w:rsidRPr="00765C62">
              <w:rPr>
                <w:rFonts w:eastAsia="Times New Roman"/>
                <w:lang w:eastAsia="hr-HR"/>
              </w:rPr>
              <w:t>469</w:t>
            </w:r>
          </w:p>
        </w:tc>
        <w:tc>
          <w:tcPr>
            <w:tcW w:w="1276" w:type="dxa"/>
          </w:tcPr>
          <w:p w14:paraId="50D77002" w14:textId="77777777" w:rsidR="00765C62" w:rsidRPr="00765C62" w:rsidRDefault="00765C62" w:rsidP="00765C62">
            <w:pPr>
              <w:spacing w:line="254" w:lineRule="auto"/>
              <w:ind w:left="720"/>
              <w:contextualSpacing/>
              <w:jc w:val="right"/>
              <w:rPr>
                <w:rFonts w:eastAsia="Times New Roman"/>
                <w:lang w:eastAsia="hr-HR"/>
              </w:rPr>
            </w:pPr>
            <w:r w:rsidRPr="00765C62">
              <w:rPr>
                <w:rFonts w:eastAsia="Times New Roman"/>
                <w:lang w:eastAsia="hr-HR"/>
              </w:rPr>
              <w:t>361</w:t>
            </w:r>
          </w:p>
        </w:tc>
        <w:tc>
          <w:tcPr>
            <w:tcW w:w="1275" w:type="dxa"/>
          </w:tcPr>
          <w:p w14:paraId="73F0E0AE" w14:textId="77777777" w:rsidR="00765C62" w:rsidRPr="00765C62" w:rsidRDefault="00765C62" w:rsidP="00412820">
            <w:pPr>
              <w:spacing w:line="254" w:lineRule="auto"/>
              <w:ind w:left="720" w:hanging="406"/>
              <w:contextualSpacing/>
              <w:jc w:val="right"/>
              <w:rPr>
                <w:rFonts w:eastAsia="Times New Roman"/>
                <w:lang w:eastAsia="hr-HR"/>
              </w:rPr>
            </w:pPr>
            <w:r w:rsidRPr="00765C62">
              <w:rPr>
                <w:rFonts w:eastAsia="Times New Roman"/>
                <w:lang w:eastAsia="hr-HR"/>
              </w:rPr>
              <w:t>1.482</w:t>
            </w:r>
          </w:p>
        </w:tc>
      </w:tr>
    </w:tbl>
    <w:p w14:paraId="3EA6E909" w14:textId="77777777" w:rsidR="00765C62" w:rsidRPr="00765C62" w:rsidRDefault="00765C62" w:rsidP="00765C62">
      <w:pPr>
        <w:suppressAutoHyphens/>
        <w:autoSpaceDN w:val="0"/>
        <w:spacing w:after="0" w:line="240" w:lineRule="auto"/>
        <w:jc w:val="both"/>
        <w:rPr>
          <w:rFonts w:ascii="Calibri" w:eastAsia="Calibri" w:hAnsi="Calibri" w:cs="Times New Roman"/>
          <w:color w:val="000000"/>
          <w:sz w:val="16"/>
          <w:szCs w:val="16"/>
        </w:rPr>
      </w:pPr>
    </w:p>
    <w:p w14:paraId="2446DFC1" w14:textId="77777777" w:rsidR="00765C62" w:rsidRPr="00765C62" w:rsidRDefault="00765C62" w:rsidP="00765C62">
      <w:pPr>
        <w:suppressAutoHyphens/>
        <w:autoSpaceDN w:val="0"/>
        <w:spacing w:after="0" w:line="240" w:lineRule="auto"/>
        <w:jc w:val="both"/>
        <w:rPr>
          <w:rFonts w:ascii="Calibri" w:eastAsia="Calibri" w:hAnsi="Calibri" w:cs="Times New Roman"/>
          <w:color w:val="000000"/>
        </w:rPr>
      </w:pPr>
      <w:r w:rsidRPr="00765C62">
        <w:rPr>
          <w:rFonts w:ascii="Calibri" w:eastAsia="Calibri" w:hAnsi="Calibri" w:cs="Times New Roman"/>
          <w:color w:val="000000"/>
        </w:rPr>
        <w:t>Najbitnije je istaknuti da su izdani akti gradnje za zahvate JLS-a i trgovačkih društava u vlasništvu JLS-a kao što su:</w:t>
      </w:r>
    </w:p>
    <w:p w14:paraId="4E02AEA7" w14:textId="77777777" w:rsidR="00765C62" w:rsidRPr="00765C62" w:rsidRDefault="00765C62" w:rsidP="00412820">
      <w:pPr>
        <w:numPr>
          <w:ilvl w:val="0"/>
          <w:numId w:val="10"/>
        </w:numPr>
        <w:suppressAutoHyphens/>
        <w:autoSpaceDN w:val="0"/>
        <w:spacing w:after="0" w:line="240" w:lineRule="auto"/>
        <w:ind w:left="284" w:hanging="284"/>
        <w:contextualSpacing/>
        <w:jc w:val="both"/>
        <w:rPr>
          <w:rFonts w:ascii="Calibri" w:eastAsia="Calibri" w:hAnsi="Calibri" w:cs="Times New Roman"/>
          <w:color w:val="000000"/>
        </w:rPr>
      </w:pPr>
      <w:r w:rsidRPr="00765C62">
        <w:rPr>
          <w:rFonts w:ascii="Calibri" w:eastAsia="Calibri" w:hAnsi="Calibri" w:cs="Times New Roman"/>
          <w:color w:val="000000"/>
        </w:rPr>
        <w:t xml:space="preserve">rekonstrukcija i gradnja mrtvačnice u Starom Grabovcu; izgradnja pristupne prometnice u </w:t>
      </w:r>
      <w:proofErr w:type="spellStart"/>
      <w:r w:rsidRPr="00765C62">
        <w:rPr>
          <w:rFonts w:ascii="Calibri" w:eastAsia="Calibri" w:hAnsi="Calibri" w:cs="Times New Roman"/>
          <w:color w:val="000000"/>
        </w:rPr>
        <w:t>Novskoj</w:t>
      </w:r>
      <w:proofErr w:type="spellEnd"/>
      <w:r w:rsidRPr="00765C62">
        <w:rPr>
          <w:rFonts w:ascii="Calibri" w:eastAsia="Calibri" w:hAnsi="Calibri" w:cs="Times New Roman"/>
          <w:color w:val="000000"/>
        </w:rPr>
        <w:t xml:space="preserve"> (ulica Adalberta </w:t>
      </w:r>
      <w:proofErr w:type="spellStart"/>
      <w:r w:rsidRPr="00765C62">
        <w:rPr>
          <w:rFonts w:ascii="Calibri" w:eastAsia="Calibri" w:hAnsi="Calibri" w:cs="Times New Roman"/>
          <w:color w:val="000000"/>
        </w:rPr>
        <w:t>Knoppa</w:t>
      </w:r>
      <w:proofErr w:type="spellEnd"/>
      <w:r w:rsidRPr="00765C62">
        <w:rPr>
          <w:rFonts w:ascii="Calibri" w:eastAsia="Calibri" w:hAnsi="Calibri" w:cs="Times New Roman"/>
          <w:color w:val="000000"/>
        </w:rPr>
        <w:t xml:space="preserve">); izgradnja javne rasvjete i plinovoda u poduzetničkoj zoni Novska jug; izgradnja zgrade javne i društvene namjene u </w:t>
      </w:r>
      <w:proofErr w:type="spellStart"/>
      <w:r w:rsidRPr="00765C62">
        <w:rPr>
          <w:rFonts w:ascii="Calibri" w:eastAsia="Calibri" w:hAnsi="Calibri" w:cs="Times New Roman"/>
          <w:color w:val="000000"/>
        </w:rPr>
        <w:t>Novskoj</w:t>
      </w:r>
      <w:proofErr w:type="spellEnd"/>
      <w:r w:rsidRPr="00765C62">
        <w:rPr>
          <w:rFonts w:ascii="Calibri" w:eastAsia="Calibri" w:hAnsi="Calibri" w:cs="Times New Roman"/>
          <w:color w:val="000000"/>
        </w:rPr>
        <w:t xml:space="preserve"> (između dvorane i srednje škole); izgradnja dječjeg vrtića u </w:t>
      </w:r>
      <w:proofErr w:type="spellStart"/>
      <w:r w:rsidRPr="00765C62">
        <w:rPr>
          <w:rFonts w:ascii="Calibri" w:eastAsia="Calibri" w:hAnsi="Calibri" w:cs="Times New Roman"/>
          <w:color w:val="000000"/>
        </w:rPr>
        <w:t>Vrginmostu</w:t>
      </w:r>
      <w:proofErr w:type="spellEnd"/>
      <w:r w:rsidRPr="00765C62">
        <w:rPr>
          <w:rFonts w:ascii="Calibri" w:eastAsia="Calibri" w:hAnsi="Calibri" w:cs="Times New Roman"/>
          <w:color w:val="000000"/>
        </w:rPr>
        <w:t xml:space="preserve"> (općina Gvozd); izgradnja sustava odvodnje u naseljima </w:t>
      </w:r>
      <w:proofErr w:type="spellStart"/>
      <w:r w:rsidRPr="00765C62">
        <w:rPr>
          <w:rFonts w:ascii="Calibri" w:eastAsia="Calibri" w:hAnsi="Calibri" w:cs="Times New Roman"/>
          <w:color w:val="000000"/>
        </w:rPr>
        <w:t>Hađer</w:t>
      </w:r>
      <w:proofErr w:type="spellEnd"/>
      <w:r w:rsidRPr="00765C62">
        <w:rPr>
          <w:rFonts w:ascii="Calibri" w:eastAsia="Calibri" w:hAnsi="Calibri" w:cs="Times New Roman"/>
          <w:color w:val="000000"/>
        </w:rPr>
        <w:t xml:space="preserve"> i </w:t>
      </w:r>
      <w:proofErr w:type="spellStart"/>
      <w:r w:rsidRPr="00765C62">
        <w:rPr>
          <w:rFonts w:ascii="Calibri" w:eastAsia="Calibri" w:hAnsi="Calibri" w:cs="Times New Roman"/>
          <w:color w:val="000000"/>
        </w:rPr>
        <w:t>Dvorišće</w:t>
      </w:r>
      <w:proofErr w:type="spellEnd"/>
      <w:r w:rsidRPr="00765C62">
        <w:rPr>
          <w:rFonts w:ascii="Calibri" w:eastAsia="Calibri" w:hAnsi="Calibri" w:cs="Times New Roman"/>
          <w:color w:val="000000"/>
        </w:rPr>
        <w:t xml:space="preserve">, sustav odvodnje naselja Gornji i Donji </w:t>
      </w:r>
      <w:proofErr w:type="spellStart"/>
      <w:r w:rsidRPr="00765C62">
        <w:rPr>
          <w:rFonts w:ascii="Calibri" w:eastAsia="Calibri" w:hAnsi="Calibri" w:cs="Times New Roman"/>
          <w:color w:val="000000"/>
        </w:rPr>
        <w:t>Viduševac</w:t>
      </w:r>
      <w:proofErr w:type="spellEnd"/>
      <w:r w:rsidRPr="00765C62">
        <w:rPr>
          <w:rFonts w:ascii="Calibri" w:eastAsia="Calibri" w:hAnsi="Calibri" w:cs="Times New Roman"/>
          <w:color w:val="000000"/>
        </w:rPr>
        <w:t xml:space="preserve">; sustava odvodnje u naseljima </w:t>
      </w:r>
      <w:proofErr w:type="spellStart"/>
      <w:r w:rsidRPr="00765C62">
        <w:rPr>
          <w:rFonts w:ascii="Calibri" w:eastAsia="Calibri" w:hAnsi="Calibri" w:cs="Times New Roman"/>
          <w:color w:val="000000"/>
        </w:rPr>
        <w:t>Katočičko</w:t>
      </w:r>
      <w:proofErr w:type="spellEnd"/>
      <w:r w:rsidRPr="00765C62">
        <w:rPr>
          <w:rFonts w:ascii="Calibri" w:eastAsia="Calibri" w:hAnsi="Calibri" w:cs="Times New Roman"/>
          <w:color w:val="000000"/>
        </w:rPr>
        <w:t xml:space="preserve"> </w:t>
      </w:r>
      <w:proofErr w:type="spellStart"/>
      <w:r w:rsidRPr="00765C62">
        <w:rPr>
          <w:rFonts w:ascii="Calibri" w:eastAsia="Calibri" w:hAnsi="Calibri" w:cs="Times New Roman"/>
          <w:color w:val="000000"/>
        </w:rPr>
        <w:t>Selišće</w:t>
      </w:r>
      <w:proofErr w:type="spellEnd"/>
      <w:r w:rsidRPr="00765C62">
        <w:rPr>
          <w:rFonts w:ascii="Calibri" w:eastAsia="Calibri" w:hAnsi="Calibri" w:cs="Times New Roman"/>
          <w:color w:val="000000"/>
        </w:rPr>
        <w:t xml:space="preserve"> i Grabov Potok; sustava vodoopskrbe i odvodnje naselja </w:t>
      </w:r>
      <w:proofErr w:type="spellStart"/>
      <w:r w:rsidRPr="00765C62">
        <w:rPr>
          <w:rFonts w:ascii="Calibri" w:eastAsia="Calibri" w:hAnsi="Calibri" w:cs="Times New Roman"/>
          <w:color w:val="000000"/>
        </w:rPr>
        <w:t>Strelečko</w:t>
      </w:r>
      <w:proofErr w:type="spellEnd"/>
      <w:r w:rsidRPr="00765C62">
        <w:rPr>
          <w:rFonts w:ascii="Calibri" w:eastAsia="Calibri" w:hAnsi="Calibri" w:cs="Times New Roman"/>
          <w:color w:val="000000"/>
        </w:rPr>
        <w:t xml:space="preserve">; izgradnja vodoopskrbne mreže naselja Novoselci; izgradnja vodoopskrbnog sustav naselja Drljače i </w:t>
      </w:r>
      <w:proofErr w:type="spellStart"/>
      <w:r w:rsidRPr="00765C62">
        <w:rPr>
          <w:rFonts w:ascii="Calibri" w:eastAsia="Calibri" w:hAnsi="Calibri" w:cs="Times New Roman"/>
          <w:color w:val="000000"/>
        </w:rPr>
        <w:t>Komarevačku</w:t>
      </w:r>
      <w:proofErr w:type="spellEnd"/>
      <w:r w:rsidRPr="00765C62">
        <w:rPr>
          <w:rFonts w:ascii="Calibri" w:eastAsia="Calibri" w:hAnsi="Calibri" w:cs="Times New Roman"/>
          <w:color w:val="000000"/>
        </w:rPr>
        <w:t xml:space="preserve"> ulicu u Sunji; rekonstrukcija i gradnja ŠRC Glina i izgradnja nogometnog igrališta s atletskom stazom; izgradnja podzemnog kabla 10/20/0,4 kV u </w:t>
      </w:r>
      <w:proofErr w:type="spellStart"/>
      <w:r w:rsidRPr="00765C62">
        <w:rPr>
          <w:rFonts w:ascii="Calibri" w:eastAsia="Calibri" w:hAnsi="Calibri" w:cs="Times New Roman"/>
          <w:color w:val="000000"/>
        </w:rPr>
        <w:t>Mustafinoj</w:t>
      </w:r>
      <w:proofErr w:type="spellEnd"/>
      <w:r w:rsidRPr="00765C62">
        <w:rPr>
          <w:rFonts w:ascii="Calibri" w:eastAsia="Calibri" w:hAnsi="Calibri" w:cs="Times New Roman"/>
          <w:color w:val="000000"/>
        </w:rPr>
        <w:t xml:space="preserve"> Kladi; rekonstrukcija i izgradnju nogostupa u Lipovljanima (Sajmišna ulica) i dr.</w:t>
      </w:r>
    </w:p>
    <w:p w14:paraId="57F317B4" w14:textId="77777777" w:rsidR="00765C62" w:rsidRPr="00765C62" w:rsidRDefault="00765C62" w:rsidP="00412820">
      <w:pPr>
        <w:numPr>
          <w:ilvl w:val="0"/>
          <w:numId w:val="10"/>
        </w:numPr>
        <w:suppressAutoHyphens/>
        <w:autoSpaceDN w:val="0"/>
        <w:spacing w:after="0" w:line="240" w:lineRule="auto"/>
        <w:ind w:left="284" w:hanging="284"/>
        <w:contextualSpacing/>
        <w:jc w:val="both"/>
        <w:rPr>
          <w:rFonts w:ascii="Calibri" w:eastAsia="Calibri" w:hAnsi="Calibri" w:cs="Times New Roman"/>
          <w:color w:val="000000"/>
        </w:rPr>
      </w:pPr>
      <w:r w:rsidRPr="00765C62">
        <w:rPr>
          <w:rFonts w:ascii="Calibri" w:eastAsia="Calibri" w:hAnsi="Calibri" w:cs="Times New Roman"/>
          <w:color w:val="000000"/>
        </w:rPr>
        <w:t>Odrađena je i prijava početka građenja višestambenih zgrada u Topuskom i Glini (zamjenske zgrade nakon potresa), te je Upravni odjel sudjelovao u izradi projekata za rekonstrukciju i dogradnju Lječilišta Topusko/TOP Termi (izdani su posebni uvjeti i pregledan projekt za građevinsku dozvolu); projekta Voćarsko- vinogradarske škole, izgradnje trafostanice za projekt Natura i dr.</w:t>
      </w:r>
    </w:p>
    <w:p w14:paraId="14B3D133" w14:textId="77777777" w:rsidR="00765C62" w:rsidRPr="00765C62" w:rsidRDefault="00765C62" w:rsidP="00765C62">
      <w:pPr>
        <w:suppressAutoHyphens/>
        <w:autoSpaceDN w:val="0"/>
        <w:spacing w:after="0" w:line="240" w:lineRule="auto"/>
        <w:ind w:left="142" w:firstLine="566"/>
        <w:jc w:val="both"/>
        <w:rPr>
          <w:rFonts w:ascii="Calibri" w:eastAsia="Calibri" w:hAnsi="Calibri" w:cs="Times New Roman"/>
          <w:color w:val="000000"/>
        </w:rPr>
      </w:pPr>
      <w:r w:rsidRPr="00765C62">
        <w:rPr>
          <w:rFonts w:ascii="Calibri" w:eastAsia="Calibri" w:hAnsi="Calibri" w:cs="Times New Roman"/>
          <w:color w:val="000000"/>
        </w:rPr>
        <w:t>Poslovi koji se odnose na e-Nekretnine su sljedeći: izdavanje izvadaka iz baze, obrada Procjembenih elaborata, organiziranje i praćenje (izrada zapisnika) sjednica Stručnog povjerenstva, te izrada Izvješća o tržištu nekretnina Sisačko-moslavačke županije za proteklu kalendarsku godinu.</w:t>
      </w:r>
    </w:p>
    <w:p w14:paraId="516D3F62" w14:textId="77777777" w:rsidR="00765C62" w:rsidRPr="00765C62" w:rsidRDefault="00765C62" w:rsidP="00765C62">
      <w:pPr>
        <w:suppressAutoHyphens/>
        <w:autoSpaceDN w:val="0"/>
        <w:spacing w:after="0" w:line="240" w:lineRule="auto"/>
        <w:ind w:left="142"/>
        <w:jc w:val="both"/>
        <w:rPr>
          <w:rFonts w:ascii="Calibri" w:eastAsia="Calibri" w:hAnsi="Calibri" w:cs="Times New Roman"/>
          <w:color w:val="000000"/>
        </w:rPr>
      </w:pPr>
      <w:r w:rsidRPr="00765C62">
        <w:rPr>
          <w:rFonts w:ascii="Calibri" w:eastAsia="Calibri" w:hAnsi="Calibri" w:cs="Times New Roman"/>
          <w:color w:val="000000"/>
        </w:rPr>
        <w:t>Broj izdanih i obrađenih dokumenata u bazi e-Nekretnina je prikazan u tablici:</w:t>
      </w:r>
    </w:p>
    <w:p w14:paraId="672572BC" w14:textId="77777777" w:rsidR="00765C62" w:rsidRPr="00765C62" w:rsidRDefault="00765C62" w:rsidP="00765C62">
      <w:pPr>
        <w:suppressAutoHyphens/>
        <w:autoSpaceDN w:val="0"/>
        <w:spacing w:after="0" w:line="240" w:lineRule="auto"/>
        <w:jc w:val="both"/>
        <w:rPr>
          <w:rFonts w:ascii="Calibri" w:eastAsia="Calibri" w:hAnsi="Calibri" w:cs="Times New Roman"/>
          <w:color w:val="000000"/>
          <w:sz w:val="8"/>
          <w:szCs w:val="8"/>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70"/>
        <w:gridCol w:w="3402"/>
      </w:tblGrid>
      <w:tr w:rsidR="00765C62" w:rsidRPr="00765C62" w14:paraId="58CDF2D7" w14:textId="77777777" w:rsidTr="00136ECD">
        <w:trPr>
          <w:trHeight w:val="269"/>
        </w:trPr>
        <w:tc>
          <w:tcPr>
            <w:tcW w:w="5670" w:type="dxa"/>
            <w:tcBorders>
              <w:top w:val="single" w:sz="4" w:space="0" w:color="auto"/>
              <w:left w:val="single" w:sz="4" w:space="0" w:color="auto"/>
              <w:bottom w:val="single" w:sz="4" w:space="0" w:color="auto"/>
              <w:right w:val="single" w:sz="4" w:space="0" w:color="auto"/>
            </w:tcBorders>
            <w:hideMark/>
          </w:tcPr>
          <w:p w14:paraId="22AF71DD" w14:textId="77777777" w:rsidR="00765C62" w:rsidRPr="00765C62" w:rsidRDefault="00765C62" w:rsidP="00765C62">
            <w:pPr>
              <w:spacing w:after="0" w:line="240" w:lineRule="auto"/>
              <w:rPr>
                <w:rFonts w:ascii="Calibri" w:eastAsia="Times New Roman" w:hAnsi="Calibri" w:cs="Calibri"/>
                <w:kern w:val="2"/>
                <w:lang w:eastAsia="ar-SA"/>
              </w:rPr>
            </w:pPr>
            <w:r w:rsidRPr="00765C62">
              <w:rPr>
                <w:rFonts w:ascii="Calibri" w:eastAsia="Times New Roman" w:hAnsi="Calibri" w:cs="Calibri"/>
                <w:kern w:val="2"/>
                <w:lang w:eastAsia="ar-SA"/>
              </w:rPr>
              <w:t>izvadci iz baze</w:t>
            </w:r>
          </w:p>
        </w:tc>
        <w:tc>
          <w:tcPr>
            <w:tcW w:w="3402" w:type="dxa"/>
            <w:tcBorders>
              <w:top w:val="single" w:sz="4" w:space="0" w:color="auto"/>
              <w:left w:val="single" w:sz="4" w:space="0" w:color="auto"/>
              <w:bottom w:val="single" w:sz="4" w:space="0" w:color="auto"/>
              <w:right w:val="single" w:sz="4" w:space="0" w:color="auto"/>
            </w:tcBorders>
          </w:tcPr>
          <w:p w14:paraId="3FAFDD6A" w14:textId="77777777" w:rsidR="00765C62" w:rsidRPr="00765C62" w:rsidRDefault="00765C62" w:rsidP="00765C62">
            <w:pPr>
              <w:spacing w:after="0" w:line="240" w:lineRule="auto"/>
              <w:jc w:val="right"/>
              <w:rPr>
                <w:rFonts w:ascii="Calibri" w:eastAsia="Times New Roman" w:hAnsi="Calibri" w:cs="Calibri"/>
                <w:kern w:val="2"/>
                <w:lang w:eastAsia="ar-SA"/>
              </w:rPr>
            </w:pPr>
            <w:r w:rsidRPr="00765C62">
              <w:rPr>
                <w:rFonts w:ascii="Calibri" w:eastAsia="Times New Roman" w:hAnsi="Calibri" w:cs="Calibri"/>
                <w:kern w:val="2"/>
                <w:lang w:eastAsia="ar-SA"/>
              </w:rPr>
              <w:t>115</w:t>
            </w:r>
          </w:p>
        </w:tc>
      </w:tr>
      <w:tr w:rsidR="00765C62" w:rsidRPr="00765C62" w14:paraId="6C1A7C67" w14:textId="77777777" w:rsidTr="00136ECD">
        <w:trPr>
          <w:trHeight w:val="269"/>
        </w:trPr>
        <w:tc>
          <w:tcPr>
            <w:tcW w:w="5670" w:type="dxa"/>
            <w:tcBorders>
              <w:top w:val="single" w:sz="4" w:space="0" w:color="auto"/>
              <w:left w:val="single" w:sz="4" w:space="0" w:color="auto"/>
              <w:bottom w:val="single" w:sz="4" w:space="0" w:color="auto"/>
              <w:right w:val="single" w:sz="4" w:space="0" w:color="auto"/>
            </w:tcBorders>
            <w:hideMark/>
          </w:tcPr>
          <w:p w14:paraId="6FE9F8F2" w14:textId="77777777" w:rsidR="00765C62" w:rsidRPr="00765C62" w:rsidRDefault="00765C62" w:rsidP="00765C62">
            <w:pPr>
              <w:spacing w:after="0" w:line="240" w:lineRule="auto"/>
              <w:rPr>
                <w:rFonts w:ascii="Calibri" w:eastAsia="Times New Roman" w:hAnsi="Calibri" w:cs="Calibri"/>
                <w:kern w:val="2"/>
                <w:lang w:eastAsia="ar-SA"/>
              </w:rPr>
            </w:pPr>
            <w:r w:rsidRPr="00765C62">
              <w:rPr>
                <w:rFonts w:ascii="Calibri" w:eastAsia="Times New Roman" w:hAnsi="Calibri" w:cs="Calibri"/>
                <w:kern w:val="2"/>
                <w:lang w:eastAsia="ar-SA"/>
              </w:rPr>
              <w:t>informacije  iz baze</w:t>
            </w:r>
          </w:p>
        </w:tc>
        <w:tc>
          <w:tcPr>
            <w:tcW w:w="3402" w:type="dxa"/>
            <w:tcBorders>
              <w:top w:val="single" w:sz="4" w:space="0" w:color="auto"/>
              <w:left w:val="single" w:sz="4" w:space="0" w:color="auto"/>
              <w:bottom w:val="single" w:sz="4" w:space="0" w:color="auto"/>
              <w:right w:val="single" w:sz="4" w:space="0" w:color="auto"/>
            </w:tcBorders>
          </w:tcPr>
          <w:p w14:paraId="7E0049C1" w14:textId="77777777" w:rsidR="00765C62" w:rsidRPr="00765C62" w:rsidRDefault="00765C62" w:rsidP="00765C62">
            <w:pPr>
              <w:spacing w:after="0" w:line="240" w:lineRule="auto"/>
              <w:jc w:val="right"/>
              <w:rPr>
                <w:rFonts w:ascii="Calibri" w:eastAsia="Times New Roman" w:hAnsi="Calibri" w:cs="Calibri"/>
                <w:kern w:val="2"/>
                <w:lang w:eastAsia="ar-SA"/>
              </w:rPr>
            </w:pPr>
            <w:r w:rsidRPr="00765C62">
              <w:rPr>
                <w:rFonts w:ascii="Calibri" w:eastAsia="Times New Roman" w:hAnsi="Calibri" w:cs="Calibri"/>
                <w:kern w:val="2"/>
                <w:lang w:eastAsia="ar-SA"/>
              </w:rPr>
              <w:t>1</w:t>
            </w:r>
          </w:p>
        </w:tc>
      </w:tr>
      <w:tr w:rsidR="00765C62" w:rsidRPr="00765C62" w14:paraId="236361F4" w14:textId="77777777" w:rsidTr="00136ECD">
        <w:trPr>
          <w:trHeight w:val="269"/>
        </w:trPr>
        <w:tc>
          <w:tcPr>
            <w:tcW w:w="5670" w:type="dxa"/>
            <w:tcBorders>
              <w:top w:val="single" w:sz="4" w:space="0" w:color="auto"/>
              <w:left w:val="single" w:sz="4" w:space="0" w:color="auto"/>
              <w:bottom w:val="single" w:sz="4" w:space="0" w:color="auto"/>
              <w:right w:val="single" w:sz="4" w:space="0" w:color="auto"/>
            </w:tcBorders>
            <w:hideMark/>
          </w:tcPr>
          <w:p w14:paraId="4F236F08" w14:textId="77777777" w:rsidR="00765C62" w:rsidRPr="00765C62" w:rsidRDefault="00765C62" w:rsidP="00765C62">
            <w:pPr>
              <w:spacing w:after="0" w:line="240" w:lineRule="auto"/>
              <w:rPr>
                <w:rFonts w:ascii="Calibri" w:eastAsia="Times New Roman" w:hAnsi="Calibri" w:cs="Calibri"/>
                <w:kern w:val="2"/>
                <w:lang w:eastAsia="ar-SA"/>
              </w:rPr>
            </w:pPr>
            <w:r w:rsidRPr="00765C62">
              <w:rPr>
                <w:rFonts w:ascii="Calibri" w:eastAsia="Times New Roman" w:hAnsi="Calibri" w:cs="Calibri"/>
                <w:kern w:val="2"/>
                <w:lang w:eastAsia="ar-SA"/>
              </w:rPr>
              <w:t>obrada elaborata tržišne vrijednosti nekretnina</w:t>
            </w:r>
          </w:p>
        </w:tc>
        <w:tc>
          <w:tcPr>
            <w:tcW w:w="3402" w:type="dxa"/>
            <w:tcBorders>
              <w:top w:val="single" w:sz="4" w:space="0" w:color="auto"/>
              <w:left w:val="single" w:sz="4" w:space="0" w:color="auto"/>
              <w:bottom w:val="single" w:sz="4" w:space="0" w:color="auto"/>
              <w:right w:val="single" w:sz="4" w:space="0" w:color="auto"/>
            </w:tcBorders>
          </w:tcPr>
          <w:p w14:paraId="1D676A3D" w14:textId="77777777" w:rsidR="00765C62" w:rsidRPr="00765C62" w:rsidRDefault="00765C62" w:rsidP="00765C62">
            <w:pPr>
              <w:spacing w:after="0" w:line="240" w:lineRule="auto"/>
              <w:jc w:val="right"/>
              <w:rPr>
                <w:rFonts w:ascii="Calibri" w:eastAsia="Times New Roman" w:hAnsi="Calibri" w:cs="Calibri"/>
                <w:kern w:val="2"/>
                <w:lang w:eastAsia="ar-SA"/>
              </w:rPr>
            </w:pPr>
            <w:r w:rsidRPr="00765C62">
              <w:rPr>
                <w:rFonts w:ascii="Calibri" w:eastAsia="Times New Roman" w:hAnsi="Calibri" w:cs="Calibri"/>
                <w:kern w:val="2"/>
                <w:lang w:eastAsia="ar-SA"/>
              </w:rPr>
              <w:t>60</w:t>
            </w:r>
          </w:p>
        </w:tc>
      </w:tr>
      <w:tr w:rsidR="00765C62" w:rsidRPr="00765C62" w14:paraId="18951A4B" w14:textId="77777777" w:rsidTr="00136ECD">
        <w:trPr>
          <w:trHeight w:val="269"/>
        </w:trPr>
        <w:tc>
          <w:tcPr>
            <w:tcW w:w="5670" w:type="dxa"/>
            <w:tcBorders>
              <w:top w:val="single" w:sz="4" w:space="0" w:color="auto"/>
              <w:left w:val="single" w:sz="4" w:space="0" w:color="auto"/>
              <w:bottom w:val="single" w:sz="4" w:space="0" w:color="auto"/>
              <w:right w:val="single" w:sz="4" w:space="0" w:color="auto"/>
            </w:tcBorders>
          </w:tcPr>
          <w:p w14:paraId="36B1A588" w14:textId="77777777" w:rsidR="00765C62" w:rsidRPr="00765C62" w:rsidRDefault="00765C62" w:rsidP="00765C62">
            <w:pPr>
              <w:spacing w:after="0" w:line="240" w:lineRule="auto"/>
              <w:rPr>
                <w:rFonts w:ascii="Calibri" w:eastAsia="Times New Roman" w:hAnsi="Calibri" w:cs="Calibri"/>
                <w:kern w:val="2"/>
                <w:lang w:eastAsia="ar-SA"/>
              </w:rPr>
            </w:pPr>
            <w:r w:rsidRPr="00765C62">
              <w:rPr>
                <w:rFonts w:ascii="Calibri" w:eastAsia="Times New Roman" w:hAnsi="Calibri" w:cs="Calibri"/>
                <w:kern w:val="2"/>
                <w:lang w:eastAsia="ar-SA"/>
              </w:rPr>
              <w:t xml:space="preserve">sjednice stručnog povjerenstva </w:t>
            </w:r>
          </w:p>
        </w:tc>
        <w:tc>
          <w:tcPr>
            <w:tcW w:w="3402" w:type="dxa"/>
            <w:tcBorders>
              <w:top w:val="single" w:sz="4" w:space="0" w:color="auto"/>
              <w:left w:val="single" w:sz="4" w:space="0" w:color="auto"/>
              <w:bottom w:val="single" w:sz="4" w:space="0" w:color="auto"/>
              <w:right w:val="single" w:sz="4" w:space="0" w:color="auto"/>
            </w:tcBorders>
          </w:tcPr>
          <w:p w14:paraId="58282EB7" w14:textId="77777777" w:rsidR="00765C62" w:rsidRPr="00765C62" w:rsidRDefault="00765C62" w:rsidP="00765C62">
            <w:pPr>
              <w:spacing w:after="0" w:line="240" w:lineRule="auto"/>
              <w:jc w:val="right"/>
              <w:rPr>
                <w:rFonts w:ascii="Calibri" w:eastAsia="Times New Roman" w:hAnsi="Calibri" w:cs="Calibri"/>
                <w:kern w:val="2"/>
                <w:lang w:eastAsia="ar-SA"/>
              </w:rPr>
            </w:pPr>
            <w:r w:rsidRPr="00765C62">
              <w:rPr>
                <w:rFonts w:ascii="Calibri" w:eastAsia="Times New Roman" w:hAnsi="Calibri" w:cs="Calibri"/>
                <w:kern w:val="2"/>
                <w:lang w:eastAsia="ar-SA"/>
              </w:rPr>
              <w:t>14</w:t>
            </w:r>
          </w:p>
        </w:tc>
      </w:tr>
    </w:tbl>
    <w:p w14:paraId="02B84534" w14:textId="134DB95A" w:rsidR="00E64964" w:rsidRDefault="00765C62" w:rsidP="00266CFE">
      <w:pPr>
        <w:suppressAutoHyphens/>
        <w:autoSpaceDN w:val="0"/>
        <w:spacing w:after="0" w:line="240" w:lineRule="auto"/>
        <w:ind w:firstLine="708"/>
        <w:jc w:val="both"/>
        <w:rPr>
          <w:rFonts w:ascii="Calibri" w:eastAsia="Calibri" w:hAnsi="Calibri" w:cs="Times New Roman"/>
          <w:color w:val="000000"/>
        </w:rPr>
      </w:pPr>
      <w:bookmarkStart w:id="0" w:name="_Hlk110853025"/>
      <w:r w:rsidRPr="00765C62">
        <w:rPr>
          <w:rFonts w:ascii="Calibri" w:eastAsia="Calibri" w:hAnsi="Calibri" w:cs="Times New Roman"/>
          <w:color w:val="000000"/>
        </w:rPr>
        <w:t xml:space="preserve">Za izdavanje akata prostornog uređenja, graditeljstva i e-Nekretnina naplaćuju se pristojbe po Zakonu o upravnim pristojbama, te su ta sredstva prihod županije (npr. izvadak iz baze 180,00 kn; izdavanje kartografskih prikaza – 400,00 kn; lokacijska dozvola  800,00 -25.000,00 kn ovisno o veličine zgrade i obuhvata zahvata; građevinska dozvola  800,00 kn do 12.000,00 kn odnosno 0,17 </w:t>
      </w:r>
      <w:r w:rsidRPr="00765C62">
        <w:rPr>
          <w:rFonts w:ascii="Sitka Subheading" w:eastAsia="Calibri" w:hAnsi="Sitka Subheading" w:cs="Times New Roman"/>
          <w:color w:val="000000"/>
        </w:rPr>
        <w:t>‰</w:t>
      </w:r>
      <w:r w:rsidRPr="00765C62">
        <w:rPr>
          <w:rFonts w:ascii="Calibri" w:eastAsia="Calibri" w:hAnsi="Calibri" w:cs="Times New Roman"/>
          <w:color w:val="000000"/>
        </w:rPr>
        <w:t xml:space="preserve"> ili 0,25 </w:t>
      </w:r>
      <w:r w:rsidRPr="00765C62">
        <w:rPr>
          <w:rFonts w:ascii="Sitka Subheading" w:eastAsia="Calibri" w:hAnsi="Sitka Subheading" w:cs="Times New Roman"/>
          <w:color w:val="000000"/>
        </w:rPr>
        <w:t>‰</w:t>
      </w:r>
      <w:r w:rsidRPr="00765C62">
        <w:rPr>
          <w:rFonts w:ascii="Calibri" w:eastAsia="Calibri" w:hAnsi="Calibri" w:cs="Times New Roman"/>
          <w:color w:val="000000"/>
        </w:rPr>
        <w:t xml:space="preserve"> od procijenjenih troškova građenja ovisno o vrsti građevine ali ne manje od 1.000,00 kn; uporabna dozvola 600,00 kn.) </w:t>
      </w:r>
      <w:bookmarkEnd w:id="0"/>
    </w:p>
    <w:p w14:paraId="27CC5C7B" w14:textId="0F6C9717" w:rsidR="00266CFE" w:rsidRDefault="00266CFE" w:rsidP="00266CFE">
      <w:pPr>
        <w:suppressAutoHyphens/>
        <w:autoSpaceDN w:val="0"/>
        <w:spacing w:after="0" w:line="240" w:lineRule="auto"/>
        <w:ind w:firstLine="708"/>
        <w:jc w:val="both"/>
        <w:rPr>
          <w:rFonts w:ascii="Calibri" w:eastAsia="Calibri" w:hAnsi="Calibri" w:cs="Times New Roman"/>
          <w:color w:val="000000"/>
        </w:rPr>
      </w:pPr>
      <w:r>
        <w:rPr>
          <w:rFonts w:ascii="Calibri" w:eastAsia="Calibri" w:hAnsi="Calibri" w:cs="Times New Roman"/>
          <w:color w:val="000000"/>
        </w:rPr>
        <w:t xml:space="preserve">Što se tiče realizacije poslova Odsjeka za imovinsko pravne poslove, stambeno zbrinjavanje i obnovu </w:t>
      </w:r>
      <w:r w:rsidR="00CE6AF1">
        <w:rPr>
          <w:rFonts w:ascii="Calibri" w:eastAsia="Calibri" w:hAnsi="Calibri" w:cs="Times New Roman"/>
          <w:color w:val="000000"/>
        </w:rPr>
        <w:t>isti je sljedeći:</w:t>
      </w:r>
    </w:p>
    <w:p w14:paraId="2F5CCFC1" w14:textId="7FD31E5D" w:rsidR="00CE6AF1" w:rsidRPr="00CE6AF1" w:rsidRDefault="00CE6AF1" w:rsidP="00CE6AF1">
      <w:pPr>
        <w:pStyle w:val="Odlomakpopisa"/>
        <w:numPr>
          <w:ilvl w:val="0"/>
          <w:numId w:val="10"/>
        </w:numPr>
        <w:shd w:val="clear" w:color="auto" w:fill="FFFFFF"/>
        <w:spacing w:after="0" w:line="240" w:lineRule="auto"/>
        <w:jc w:val="both"/>
        <w:rPr>
          <w:rFonts w:eastAsia="Times New Roman" w:cstheme="minorHAnsi"/>
          <w:shd w:val="clear" w:color="auto" w:fill="FFFFFF"/>
        </w:rPr>
      </w:pPr>
      <w:r w:rsidRPr="00CE6AF1">
        <w:rPr>
          <w:rFonts w:eastAsia="Times New Roman" w:cstheme="minorHAnsi"/>
          <w:color w:val="000000"/>
          <w:shd w:val="clear" w:color="auto" w:fill="FFFFFF"/>
        </w:rPr>
        <w:t xml:space="preserve">U razmatranom periodu iz područja imovinsko-pravnih poslova, stambenog zbrinjavanja i obnove je riješeno ukupno 255  predmeta, te je  izdano 487 upravnih akata i 85 neupravnih akata. </w:t>
      </w:r>
    </w:p>
    <w:p w14:paraId="169AE387" w14:textId="35BE2D8D" w:rsidR="00CE6AF1" w:rsidRPr="00CE6AF1" w:rsidRDefault="00CE6AF1" w:rsidP="00CE6AF1">
      <w:pPr>
        <w:pStyle w:val="Odlomakpopisa"/>
        <w:numPr>
          <w:ilvl w:val="0"/>
          <w:numId w:val="10"/>
        </w:numPr>
        <w:shd w:val="clear" w:color="auto" w:fill="FFFFFF"/>
        <w:spacing w:after="0" w:line="240" w:lineRule="auto"/>
        <w:jc w:val="both"/>
        <w:rPr>
          <w:rFonts w:eastAsia="Times New Roman" w:cstheme="minorHAnsi"/>
          <w:shd w:val="clear" w:color="auto" w:fill="FFFFFF"/>
        </w:rPr>
      </w:pPr>
      <w:r>
        <w:rPr>
          <w:rFonts w:eastAsia="Times New Roman" w:cstheme="minorHAnsi"/>
          <w:color w:val="000000"/>
          <w:shd w:val="clear" w:color="auto" w:fill="FFFFFF"/>
        </w:rPr>
        <w:t xml:space="preserve">Izrađeno je </w:t>
      </w:r>
      <w:r w:rsidRPr="00CE6AF1">
        <w:rPr>
          <w:rFonts w:eastAsia="Times New Roman" w:cstheme="minorHAnsi"/>
          <w:color w:val="000000"/>
          <w:shd w:val="clear" w:color="auto" w:fill="FFFFFF"/>
        </w:rPr>
        <w:t>568 zaključaka,  435 prijedloga za upis zabilježbe</w:t>
      </w:r>
      <w:r>
        <w:rPr>
          <w:rFonts w:eastAsia="Times New Roman" w:cstheme="minorHAnsi"/>
          <w:color w:val="000000"/>
          <w:shd w:val="clear" w:color="auto" w:fill="FFFFFF"/>
        </w:rPr>
        <w:t xml:space="preserve"> i</w:t>
      </w:r>
      <w:r w:rsidRPr="00CE6AF1">
        <w:rPr>
          <w:rFonts w:eastAsia="Times New Roman" w:cstheme="minorHAnsi"/>
          <w:color w:val="000000"/>
          <w:shd w:val="clear" w:color="auto" w:fill="FFFFFF"/>
        </w:rPr>
        <w:t xml:space="preserve"> 2367 dopisa. </w:t>
      </w:r>
    </w:p>
    <w:p w14:paraId="4F175F4D" w14:textId="487D8961" w:rsidR="00CE6AF1" w:rsidRPr="00CE6AF1" w:rsidRDefault="00CE6AF1" w:rsidP="00CE6AF1">
      <w:pPr>
        <w:pStyle w:val="Odlomakpopisa"/>
        <w:numPr>
          <w:ilvl w:val="0"/>
          <w:numId w:val="10"/>
        </w:numPr>
        <w:shd w:val="clear" w:color="auto" w:fill="FFFFFF"/>
        <w:spacing w:after="0" w:line="240" w:lineRule="auto"/>
        <w:jc w:val="both"/>
        <w:rPr>
          <w:rFonts w:eastAsia="Times New Roman" w:cstheme="minorHAnsi"/>
          <w:shd w:val="clear" w:color="auto" w:fill="FFFFFF"/>
        </w:rPr>
      </w:pPr>
      <w:r w:rsidRPr="00CE6AF1">
        <w:rPr>
          <w:rFonts w:eastAsia="Times New Roman" w:cstheme="minorHAnsi"/>
          <w:color w:val="000000"/>
        </w:rPr>
        <w:t>Održano je 119  usmenih rasprava</w:t>
      </w:r>
      <w:r w:rsidRPr="00CE6AF1">
        <w:rPr>
          <w:rFonts w:eastAsia="Times New Roman" w:cstheme="minorHAnsi"/>
          <w:color w:val="000000"/>
          <w:shd w:val="clear" w:color="auto" w:fill="FFFFFF"/>
        </w:rPr>
        <w:t xml:space="preserve"> te je provedeno 934  očevida. </w:t>
      </w:r>
    </w:p>
    <w:p w14:paraId="05ED96CB" w14:textId="77777777" w:rsidR="00266CFE" w:rsidRPr="00266CFE" w:rsidRDefault="00266CFE" w:rsidP="00266CFE">
      <w:pPr>
        <w:widowControl w:val="0"/>
        <w:shd w:val="clear" w:color="auto" w:fill="FFFFFF"/>
        <w:suppressAutoHyphens/>
        <w:spacing w:after="0" w:line="240" w:lineRule="auto"/>
        <w:jc w:val="both"/>
        <w:rPr>
          <w:rFonts w:ascii="Calibri" w:eastAsia="Times New Roman" w:hAnsi="Calibri" w:cs="Calibri"/>
        </w:rPr>
      </w:pPr>
      <w:r w:rsidRPr="00266CFE">
        <w:rPr>
          <w:rFonts w:ascii="Calibri" w:eastAsia="Lucida Sans Unicode" w:hAnsi="Calibri" w:cs="Calibri"/>
          <w:kern w:val="2"/>
          <w:shd w:val="clear" w:color="auto" w:fill="FFFFFF"/>
        </w:rPr>
        <w:t>O</w:t>
      </w:r>
      <w:r w:rsidRPr="00266CFE">
        <w:rPr>
          <w:rFonts w:ascii="Calibri" w:eastAsia="Times New Roman" w:hAnsi="Calibri" w:cs="Calibri"/>
        </w:rPr>
        <w:t xml:space="preserve">bzirom da dokazni postupak i kompletiranje spisa traje više mjeseci, praćenje uspješnosti rada temelji se na statističkim podacima obavljenih radnji i izdanih akata na mjesečnoj razini. Kako je u upravnom postupku ovog upravnog područja u pravilu riječ o opsežnim zahtjevima stranaka (broj nekretnina i sl.), često se donose djelomična rješenja po fazama kada je je neko pitanje zrelo za rješavanje, ali navedenim postupanjem, cijeli predmet ne smatra se dovršenim tj. riješenim u cijelosti. Prioritetno se rješavaju predmeti osiguranja dokaza i izvlaštenja koji su ujedno i hitni postupci vezani uz važne infrastrukturne projekte u Sisačko – moslavačkoj županiji. </w:t>
      </w:r>
    </w:p>
    <w:p w14:paraId="06BEA35F" w14:textId="77777777" w:rsidR="00266CFE" w:rsidRPr="00266CFE" w:rsidRDefault="00266CFE" w:rsidP="00266CFE">
      <w:pPr>
        <w:widowControl w:val="0"/>
        <w:shd w:val="clear" w:color="auto" w:fill="FFFFFF"/>
        <w:suppressAutoHyphens/>
        <w:spacing w:after="0" w:line="240" w:lineRule="auto"/>
        <w:ind w:firstLine="708"/>
        <w:jc w:val="both"/>
        <w:rPr>
          <w:rFonts w:ascii="Calibri" w:eastAsia="Lucida Sans Unicode" w:hAnsi="Calibri" w:cs="Tahoma"/>
          <w:kern w:val="2"/>
          <w:sz w:val="8"/>
          <w:szCs w:val="8"/>
          <w:shd w:val="clear" w:color="auto" w:fill="FFFFFF"/>
        </w:rPr>
      </w:pPr>
      <w:r w:rsidRPr="00266CFE">
        <w:rPr>
          <w:rFonts w:ascii="Calibri" w:eastAsia="Times New Roman" w:hAnsi="Calibri" w:cs="Calibri"/>
        </w:rPr>
        <w:t>U postupku stambenog zbrinjavanja i obnove ne donose se djelomična rješenja. Donošenjem rješenja postupak je dovršen.</w:t>
      </w:r>
    </w:p>
    <w:p w14:paraId="0E59957E" w14:textId="5BE63D35" w:rsidR="00266CFE" w:rsidRPr="00266CFE" w:rsidRDefault="00266CFE" w:rsidP="00266CFE">
      <w:pPr>
        <w:shd w:val="clear" w:color="auto" w:fill="FFFFFF"/>
        <w:spacing w:after="0" w:line="240" w:lineRule="auto"/>
        <w:ind w:firstLine="708"/>
        <w:jc w:val="both"/>
        <w:rPr>
          <w:rFonts w:eastAsia="Times New Roman" w:cstheme="minorHAnsi"/>
          <w:shd w:val="clear" w:color="auto" w:fill="FFFFFF"/>
        </w:rPr>
      </w:pPr>
      <w:r w:rsidRPr="00266CFE">
        <w:rPr>
          <w:rFonts w:eastAsia="Times New Roman" w:cstheme="minorHAnsi"/>
          <w:color w:val="000000"/>
          <w:shd w:val="clear" w:color="auto" w:fill="FFFFFF"/>
        </w:rPr>
        <w:lastRenderedPageBreak/>
        <w:t>Administrativni poslovi realizirani su na način da je uneseno i otpremljeno ukupno 11</w:t>
      </w:r>
      <w:r w:rsidR="00CE6AF1">
        <w:rPr>
          <w:rFonts w:eastAsia="Times New Roman" w:cstheme="minorHAnsi"/>
          <w:color w:val="000000"/>
          <w:shd w:val="clear" w:color="auto" w:fill="FFFFFF"/>
        </w:rPr>
        <w:t>.</w:t>
      </w:r>
      <w:r w:rsidRPr="00266CFE">
        <w:rPr>
          <w:rFonts w:eastAsia="Times New Roman" w:cstheme="minorHAnsi"/>
          <w:color w:val="000000"/>
          <w:shd w:val="clear" w:color="auto" w:fill="FFFFFF"/>
        </w:rPr>
        <w:t xml:space="preserve">136 pismena te je formirano  1133 novih spisa, a napisano je i  130 zapisnika i dopisa. </w:t>
      </w:r>
    </w:p>
    <w:p w14:paraId="029D0DC8" w14:textId="20344AF1" w:rsidR="00266CFE" w:rsidRPr="00266CFE" w:rsidRDefault="00266CFE" w:rsidP="006A0961">
      <w:pPr>
        <w:shd w:val="clear" w:color="auto" w:fill="FFFFFF"/>
        <w:spacing w:after="0" w:line="240" w:lineRule="auto"/>
        <w:ind w:firstLine="708"/>
        <w:jc w:val="both"/>
        <w:rPr>
          <w:rFonts w:eastAsia="Times New Roman" w:cstheme="minorHAnsi"/>
        </w:rPr>
      </w:pPr>
      <w:r w:rsidRPr="00266CFE">
        <w:rPr>
          <w:rFonts w:eastAsia="Times New Roman" w:cstheme="minorHAnsi"/>
          <w:color w:val="000000"/>
        </w:rPr>
        <w:t>Povjerenstvo za procjenu useljivosti stambenih objekata (koje čine službenici Odsjeka) provelo je  27 očevida, te ispunjene obrasce (zapisnike) dostavilo službenicima na daljnje postupanje. Realizirana je Lista prvenstva stambenog zbrinjavanja za 2022. godinu, sukladno Planu stambenog zbrinjavanja za 2022. godinu, pa je tako:</w:t>
      </w:r>
      <w:r w:rsidR="006A0961">
        <w:rPr>
          <w:rFonts w:eastAsia="Times New Roman" w:cstheme="minorHAnsi"/>
          <w:color w:val="000000"/>
        </w:rPr>
        <w:t xml:space="preserve"> (model</w:t>
      </w:r>
      <w:r w:rsidRPr="00266CFE">
        <w:rPr>
          <w:rFonts w:eastAsia="Times New Roman" w:cstheme="minorHAnsi"/>
        </w:rPr>
        <w:t xml:space="preserve"> A (najam obiteljske kuće u državnom vlasništvu)</w:t>
      </w:r>
      <w:r w:rsidR="006A0961">
        <w:rPr>
          <w:rFonts w:eastAsia="Times New Roman" w:cstheme="minorHAnsi"/>
        </w:rPr>
        <w:t>;</w:t>
      </w:r>
      <w:r w:rsidRPr="00266CFE">
        <w:rPr>
          <w:rFonts w:eastAsia="Times New Roman" w:cstheme="minorHAnsi"/>
        </w:rPr>
        <w:t>model B (darovanje neuseljive obiteljske kuće u državnom vlasništvu i građevnog materijala za njenu obnovu)</w:t>
      </w:r>
      <w:r w:rsidR="006A0961">
        <w:rPr>
          <w:rFonts w:eastAsia="Times New Roman" w:cstheme="minorHAnsi"/>
        </w:rPr>
        <w:t>;</w:t>
      </w:r>
    </w:p>
    <w:p w14:paraId="37597BB9" w14:textId="739C71CD" w:rsidR="00266CFE" w:rsidRPr="00266CFE" w:rsidRDefault="00CE6AF1" w:rsidP="006A0961">
      <w:pPr>
        <w:spacing w:after="0" w:line="240" w:lineRule="auto"/>
        <w:jc w:val="both"/>
        <w:rPr>
          <w:rFonts w:eastAsia="Times New Roman" w:cstheme="minorHAnsi"/>
        </w:rPr>
      </w:pPr>
      <w:r>
        <w:rPr>
          <w:rFonts w:eastAsia="Times New Roman" w:cstheme="minorHAnsi"/>
        </w:rPr>
        <w:t>-</w:t>
      </w:r>
      <w:r w:rsidR="00266CFE" w:rsidRPr="00266CFE">
        <w:rPr>
          <w:rFonts w:eastAsia="Times New Roman" w:cstheme="minorHAnsi"/>
        </w:rPr>
        <w:t>model C (najam stana u državnom vlasništvu)</w:t>
      </w:r>
      <w:r w:rsidR="006A0961">
        <w:rPr>
          <w:rFonts w:eastAsia="Times New Roman" w:cstheme="minorHAnsi"/>
        </w:rPr>
        <w:t xml:space="preserve"> i </w:t>
      </w:r>
      <w:r w:rsidR="00266CFE" w:rsidRPr="00266CFE">
        <w:rPr>
          <w:rFonts w:eastAsia="Times New Roman" w:cstheme="minorHAnsi"/>
        </w:rPr>
        <w:t>model D (darovanje građevinskog zemljišta u državnom vlasništvu i građevnog materijala za izgradnju obiteljske kuće) -  ni</w:t>
      </w:r>
      <w:r w:rsidR="006A0961">
        <w:rPr>
          <w:rFonts w:eastAsia="Times New Roman" w:cstheme="minorHAnsi"/>
        </w:rPr>
        <w:t>su</w:t>
      </w:r>
      <w:r w:rsidR="00266CFE" w:rsidRPr="00266CFE">
        <w:rPr>
          <w:rFonts w:eastAsia="Times New Roman" w:cstheme="minorHAnsi"/>
        </w:rPr>
        <w:t xml:space="preserve"> bi</w:t>
      </w:r>
      <w:r w:rsidR="006A0961">
        <w:rPr>
          <w:rFonts w:eastAsia="Times New Roman" w:cstheme="minorHAnsi"/>
        </w:rPr>
        <w:t>li</w:t>
      </w:r>
      <w:r w:rsidR="00266CFE" w:rsidRPr="00266CFE">
        <w:rPr>
          <w:rFonts w:eastAsia="Times New Roman" w:cstheme="minorHAnsi"/>
        </w:rPr>
        <w:t xml:space="preserve"> u Planu,</w:t>
      </w:r>
      <w:r w:rsidR="006A0961">
        <w:rPr>
          <w:rFonts w:eastAsia="Times New Roman" w:cstheme="minorHAnsi"/>
        </w:rPr>
        <w:t xml:space="preserve"> dok je </w:t>
      </w:r>
      <w:r w:rsidR="00266CFE" w:rsidRPr="00266CFE">
        <w:rPr>
          <w:rFonts w:eastAsia="Times New Roman" w:cstheme="minorHAnsi"/>
        </w:rPr>
        <w:t xml:space="preserve">model E (darovanje građevnog materijala za obnovu, dogradnju ili izgradnju obiteljske kuće u vlasništvu korisnika) -  u Planu predviđeno 38 paketa građevinskog materijala koji će se do kraja godine dodijeliti podnositeljima zahtjeva sukladno bodovima na Listi prvenstva i ispunjenim zakonskim uvjetima. </w:t>
      </w:r>
    </w:p>
    <w:p w14:paraId="7EEC3BE6" w14:textId="77777777" w:rsidR="00266CFE" w:rsidRPr="00266CFE" w:rsidRDefault="00266CFE" w:rsidP="00266CFE">
      <w:pPr>
        <w:shd w:val="clear" w:color="auto" w:fill="FFFFFF"/>
        <w:spacing w:after="0" w:line="240" w:lineRule="auto"/>
        <w:ind w:firstLine="708"/>
        <w:jc w:val="both"/>
        <w:rPr>
          <w:rFonts w:eastAsia="Times New Roman" w:cstheme="minorHAnsi"/>
          <w:lang w:eastAsia="hr-HR"/>
        </w:rPr>
      </w:pPr>
      <w:r w:rsidRPr="00266CFE">
        <w:rPr>
          <w:rFonts w:eastAsia="Times New Roman" w:cstheme="minorHAnsi"/>
          <w:lang w:eastAsia="hr-HR"/>
        </w:rPr>
        <w:t xml:space="preserve">Što se tiče poslova obnove nakon potresa, Upravni odjel je dao na ispomoć u Središnji državni ured za obnovu i stambeno zbrinjavanje u Petrinji jednu djelatnicu, a ostali poslovi su vezani uz prikupljanje i dostavu podataka Ministarstvu prostornog uređenje, graditeljstva i državne imovine koje je nadležno za izdavanje rješenje o pravu na obnovu (rješavanje po zahtjevu za određenog korisnika). </w:t>
      </w:r>
    </w:p>
    <w:p w14:paraId="1CA5406F" w14:textId="12354EC7" w:rsidR="00266CFE" w:rsidRPr="00266CFE" w:rsidRDefault="00266CFE" w:rsidP="00CE6AF1">
      <w:pPr>
        <w:spacing w:after="0" w:line="240" w:lineRule="auto"/>
        <w:rPr>
          <w:rFonts w:eastAsia="Times New Roman" w:cstheme="minorHAnsi"/>
          <w:lang w:eastAsia="hr-HR"/>
        </w:rPr>
      </w:pPr>
      <w:r w:rsidRPr="00266CFE">
        <w:rPr>
          <w:rFonts w:eastAsia="Times New Roman" w:cstheme="minorHAnsi"/>
        </w:rPr>
        <w:tab/>
      </w:r>
      <w:r w:rsidRPr="00266CFE">
        <w:rPr>
          <w:rFonts w:eastAsia="Times New Roman" w:cstheme="minorHAnsi"/>
          <w:color w:val="000000"/>
        </w:rPr>
        <w:t xml:space="preserve">U području imovinsko-pravnih poslova kao najvažniji i najveći posao je postupak izvlaštenja za zahvat u prostoru: izgradnja autoceste Zagreb-Sisak (A11), dionica: Lekenik – Sisak. Na dan 30. 06. 2022. godine, od 1390 nekretnina na prostoru zahvata, izvlašteno je njih 1282. Drugi najvažniji zahvat u prostoru je i izgradnja </w:t>
      </w:r>
      <w:r w:rsidRPr="00266CFE">
        <w:rPr>
          <w:rFonts w:eastAsia="Times New Roman" w:cstheme="minorHAnsi"/>
          <w:lang w:eastAsia="hr-HR"/>
        </w:rPr>
        <w:t>Sjevernog kolnika spojne ceste čvor Sisak – Sisak od km cca 0+000 do km 2+650 SC1 te je za svih 604 nekretnina proveden postupak osiguranja dokaza o njihovom stanju i vrijednosti.</w:t>
      </w:r>
    </w:p>
    <w:p w14:paraId="0F00392C" w14:textId="221BDD0B" w:rsidR="00266CFE" w:rsidRPr="00266CFE" w:rsidRDefault="00266CFE" w:rsidP="00266CFE">
      <w:pPr>
        <w:tabs>
          <w:tab w:val="left" w:pos="3053"/>
        </w:tabs>
        <w:spacing w:after="0" w:line="240" w:lineRule="auto"/>
        <w:rPr>
          <w:rFonts w:ascii="Calibri" w:eastAsia="Times New Roman" w:hAnsi="Calibri" w:cs="Calibri"/>
          <w:sz w:val="16"/>
          <w:szCs w:val="16"/>
        </w:rPr>
      </w:pPr>
      <w:r w:rsidRPr="00266CFE">
        <w:rPr>
          <w:rFonts w:ascii="Calibri" w:eastAsia="Times New Roman" w:hAnsi="Calibri" w:cs="Calibri"/>
          <w:sz w:val="16"/>
          <w:szCs w:val="16"/>
        </w:rPr>
        <w:tab/>
      </w:r>
      <w:r w:rsidRPr="00266CFE">
        <w:rPr>
          <w:rFonts w:ascii="Calibri" w:eastAsia="Times New Roman" w:hAnsi="Calibri" w:cs="Calibri"/>
          <w:sz w:val="16"/>
          <w:szCs w:val="16"/>
        </w:rPr>
        <w:tab/>
      </w:r>
      <w:r w:rsidRPr="00266CFE">
        <w:rPr>
          <w:rFonts w:ascii="Calibri" w:eastAsia="Times New Roman" w:hAnsi="Calibri" w:cs="Calibri"/>
          <w:sz w:val="16"/>
          <w:szCs w:val="16"/>
        </w:rPr>
        <w:tab/>
        <w:t xml:space="preserve">        </w:t>
      </w:r>
    </w:p>
    <w:p w14:paraId="72439848" w14:textId="77777777" w:rsidR="00E64964" w:rsidRPr="00E64964" w:rsidRDefault="00E64964" w:rsidP="00E64964">
      <w:pPr>
        <w:suppressAutoHyphens/>
        <w:autoSpaceDN w:val="0"/>
        <w:spacing w:after="0" w:line="240" w:lineRule="auto"/>
        <w:jc w:val="both"/>
        <w:rPr>
          <w:rFonts w:ascii="Calibri" w:eastAsia="Calibri" w:hAnsi="Calibri" w:cs="Times New Roman"/>
          <w:b/>
          <w:bCs/>
          <w:color w:val="000000"/>
          <w:sz w:val="24"/>
          <w:szCs w:val="24"/>
        </w:rPr>
      </w:pPr>
      <w:r w:rsidRPr="00E64964">
        <w:rPr>
          <w:rFonts w:ascii="Calibri" w:eastAsia="Calibri" w:hAnsi="Calibri" w:cs="Times New Roman"/>
          <w:b/>
          <w:bCs/>
          <w:color w:val="000000"/>
          <w:sz w:val="24"/>
          <w:szCs w:val="24"/>
        </w:rPr>
        <w:t>OBRAZLOŽENJE RASHODA (ORGANIZACIJSKA KLASIFIKACIJA)</w:t>
      </w:r>
    </w:p>
    <w:p w14:paraId="7045C219" w14:textId="7D28A284" w:rsidR="009D2D2A" w:rsidRDefault="009D2D2A" w:rsidP="006A0961">
      <w:pPr>
        <w:suppressAutoHyphens/>
        <w:autoSpaceDN w:val="0"/>
        <w:spacing w:after="0" w:line="240" w:lineRule="auto"/>
        <w:ind w:firstLine="708"/>
        <w:jc w:val="both"/>
        <w:rPr>
          <w:rFonts w:ascii="Calibri" w:eastAsia="Calibri" w:hAnsi="Calibri" w:cs="Times New Roman"/>
          <w:color w:val="000000"/>
        </w:rPr>
      </w:pPr>
      <w:r>
        <w:rPr>
          <w:rFonts w:ascii="Calibri" w:eastAsia="Calibri" w:hAnsi="Calibri" w:cs="Times New Roman"/>
          <w:color w:val="000000"/>
        </w:rPr>
        <w:t>Obzirom da su poslovi Upravnog odjela uglavnom vezani za izdavanje akta, te da se navedeni poslovi ne vide kroz proračun</w:t>
      </w:r>
      <w:r w:rsidR="00291C7C">
        <w:rPr>
          <w:rFonts w:ascii="Calibri" w:eastAsia="Calibri" w:hAnsi="Calibri" w:cs="Times New Roman"/>
          <w:color w:val="000000"/>
        </w:rPr>
        <w:t xml:space="preserve"> (nema troškova)</w:t>
      </w:r>
      <w:r>
        <w:rPr>
          <w:rFonts w:ascii="Calibri" w:eastAsia="Calibri" w:hAnsi="Calibri" w:cs="Times New Roman"/>
          <w:color w:val="000000"/>
        </w:rPr>
        <w:t>, u daljnjem tekstu se daje obrazloženje planiranih i realiziranih financijskih sredstava pa tako:</w:t>
      </w:r>
    </w:p>
    <w:p w14:paraId="7D95D3AB" w14:textId="58F1E9FA" w:rsidR="00E64964" w:rsidRPr="00E64964" w:rsidRDefault="00E64964" w:rsidP="00E64964">
      <w:pPr>
        <w:suppressAutoHyphens/>
        <w:autoSpaceDN w:val="0"/>
        <w:spacing w:after="0" w:line="240" w:lineRule="auto"/>
        <w:jc w:val="both"/>
        <w:rPr>
          <w:rFonts w:ascii="Calibri" w:eastAsia="Calibri" w:hAnsi="Calibri" w:cs="Times New Roman"/>
          <w:color w:val="000000"/>
        </w:rPr>
      </w:pPr>
      <w:r w:rsidRPr="00E64964">
        <w:rPr>
          <w:rFonts w:ascii="Calibri" w:eastAsia="Calibri" w:hAnsi="Calibri" w:cs="Times New Roman"/>
          <w:color w:val="000000"/>
        </w:rPr>
        <w:t xml:space="preserve">Planirani rashodi razdjela </w:t>
      </w:r>
      <w:r w:rsidRPr="00E64964">
        <w:rPr>
          <w:rFonts w:ascii="Calibri" w:eastAsia="Calibri" w:hAnsi="Calibri" w:cs="Times New Roman"/>
          <w:b/>
          <w:bCs/>
          <w:color w:val="000000"/>
        </w:rPr>
        <w:t xml:space="preserve">016 </w:t>
      </w:r>
      <w:r w:rsidRPr="00E64964">
        <w:rPr>
          <w:rFonts w:ascii="Calibri" w:eastAsia="Calibri" w:hAnsi="Calibri" w:cs="Times New Roman"/>
          <w:color w:val="000000"/>
        </w:rPr>
        <w:t xml:space="preserve">– Upravni odjel za prostorno uređenje, graditeljstvo i </w:t>
      </w:r>
      <w:r w:rsidR="009D2D2A">
        <w:rPr>
          <w:rFonts w:ascii="Calibri" w:eastAsia="Calibri" w:hAnsi="Calibri" w:cs="Times New Roman"/>
          <w:color w:val="000000"/>
        </w:rPr>
        <w:t>obnovu</w:t>
      </w:r>
      <w:r w:rsidRPr="00E64964">
        <w:rPr>
          <w:rFonts w:ascii="Calibri" w:eastAsia="Calibri" w:hAnsi="Calibri" w:cs="Times New Roman"/>
          <w:color w:val="000000"/>
        </w:rPr>
        <w:t xml:space="preserve"> su </w:t>
      </w:r>
      <w:r w:rsidR="00616AC2">
        <w:rPr>
          <w:rFonts w:ascii="Calibri" w:eastAsia="Calibri" w:hAnsi="Calibri" w:cs="Times New Roman"/>
          <w:color w:val="000000"/>
        </w:rPr>
        <w:t xml:space="preserve">bili </w:t>
      </w:r>
      <w:r w:rsidR="009D2D2A">
        <w:rPr>
          <w:rFonts w:ascii="Calibri" w:eastAsia="Calibri" w:hAnsi="Calibri" w:cs="Times New Roman"/>
          <w:color w:val="000000"/>
        </w:rPr>
        <w:t>3.</w:t>
      </w:r>
      <w:r w:rsidR="00291C7C">
        <w:rPr>
          <w:rFonts w:ascii="Calibri" w:eastAsia="Calibri" w:hAnsi="Calibri" w:cs="Times New Roman"/>
          <w:color w:val="000000"/>
        </w:rPr>
        <w:t>194.242,00</w:t>
      </w:r>
      <w:r w:rsidR="009D2D2A">
        <w:rPr>
          <w:rFonts w:ascii="Calibri" w:eastAsia="Calibri" w:hAnsi="Calibri" w:cs="Times New Roman"/>
          <w:color w:val="000000"/>
        </w:rPr>
        <w:t xml:space="preserve">  kune</w:t>
      </w:r>
      <w:r w:rsidRPr="00E64964">
        <w:rPr>
          <w:rFonts w:ascii="Calibri" w:eastAsia="Calibri" w:hAnsi="Calibri" w:cs="Times New Roman"/>
          <w:color w:val="000000"/>
        </w:rPr>
        <w:t>, dok su</w:t>
      </w:r>
      <w:r w:rsidR="009D2D2A">
        <w:rPr>
          <w:rFonts w:ascii="Calibri" w:eastAsia="Calibri" w:hAnsi="Calibri" w:cs="Times New Roman"/>
          <w:color w:val="000000"/>
        </w:rPr>
        <w:t xml:space="preserve"> isti </w:t>
      </w:r>
      <w:r w:rsidRPr="00E64964">
        <w:rPr>
          <w:rFonts w:ascii="Calibri" w:eastAsia="Calibri" w:hAnsi="Calibri" w:cs="Times New Roman"/>
          <w:color w:val="000000"/>
        </w:rPr>
        <w:t xml:space="preserve"> do 30. lipnja 202</w:t>
      </w:r>
      <w:r w:rsidR="009D2D2A">
        <w:rPr>
          <w:rFonts w:ascii="Calibri" w:eastAsia="Calibri" w:hAnsi="Calibri" w:cs="Times New Roman"/>
          <w:color w:val="000000"/>
        </w:rPr>
        <w:t>2</w:t>
      </w:r>
      <w:r w:rsidRPr="00E64964">
        <w:rPr>
          <w:rFonts w:ascii="Calibri" w:eastAsia="Calibri" w:hAnsi="Calibri" w:cs="Times New Roman"/>
          <w:color w:val="000000"/>
        </w:rPr>
        <w:t xml:space="preserve">. godine ostvareni sa </w:t>
      </w:r>
      <w:r w:rsidR="009D2D2A">
        <w:rPr>
          <w:rFonts w:ascii="Calibri" w:eastAsia="Calibri" w:hAnsi="Calibri" w:cs="Times New Roman"/>
          <w:color w:val="000000"/>
        </w:rPr>
        <w:t>1.097.951,45 kuna</w:t>
      </w:r>
      <w:r w:rsidRPr="00E64964">
        <w:rPr>
          <w:rFonts w:ascii="Calibri" w:eastAsia="Calibri" w:hAnsi="Calibri" w:cs="Times New Roman"/>
          <w:color w:val="000000"/>
        </w:rPr>
        <w:t>.</w:t>
      </w:r>
    </w:p>
    <w:p w14:paraId="77E638DC" w14:textId="41C89782" w:rsidR="00E64964" w:rsidRDefault="00E64964" w:rsidP="00E64964">
      <w:pPr>
        <w:suppressAutoHyphens/>
        <w:autoSpaceDN w:val="0"/>
        <w:spacing w:after="0" w:line="240" w:lineRule="auto"/>
        <w:jc w:val="both"/>
        <w:rPr>
          <w:rFonts w:ascii="Calibri" w:eastAsia="Calibri" w:hAnsi="Calibri" w:cs="Times New Roman"/>
          <w:color w:val="000000"/>
        </w:rPr>
      </w:pPr>
      <w:r w:rsidRPr="00E64964">
        <w:rPr>
          <w:rFonts w:ascii="Calibri" w:eastAsia="Calibri" w:hAnsi="Calibri" w:cs="Times New Roman"/>
          <w:color w:val="000000"/>
        </w:rPr>
        <w:t xml:space="preserve">Razdjel 016 </w:t>
      </w:r>
      <w:r w:rsidR="009D2D2A">
        <w:rPr>
          <w:rFonts w:ascii="Calibri" w:eastAsia="Calibri" w:hAnsi="Calibri" w:cs="Times New Roman"/>
          <w:color w:val="000000"/>
        </w:rPr>
        <w:t xml:space="preserve">čine </w:t>
      </w:r>
      <w:r w:rsidRPr="00E64964">
        <w:rPr>
          <w:rFonts w:ascii="Calibri" w:eastAsia="Calibri" w:hAnsi="Calibri" w:cs="Times New Roman"/>
          <w:color w:val="000000"/>
        </w:rPr>
        <w:t xml:space="preserve">prostorno uređenje, graditeljstvo i </w:t>
      </w:r>
      <w:r w:rsidR="009D2D2A">
        <w:rPr>
          <w:rFonts w:ascii="Calibri" w:eastAsia="Calibri" w:hAnsi="Calibri" w:cs="Times New Roman"/>
          <w:color w:val="000000"/>
        </w:rPr>
        <w:t>obnov</w:t>
      </w:r>
      <w:r w:rsidRPr="00E64964">
        <w:rPr>
          <w:rFonts w:ascii="Calibri" w:eastAsia="Calibri" w:hAnsi="Calibri" w:cs="Times New Roman"/>
          <w:color w:val="000000"/>
        </w:rPr>
        <w:t>a</w:t>
      </w:r>
      <w:r w:rsidR="009D2D2A">
        <w:rPr>
          <w:rFonts w:ascii="Calibri" w:eastAsia="Calibri" w:hAnsi="Calibri" w:cs="Times New Roman"/>
          <w:color w:val="000000"/>
        </w:rPr>
        <w:t xml:space="preserve"> (</w:t>
      </w:r>
      <w:r w:rsidR="00291C7C">
        <w:rPr>
          <w:rFonts w:ascii="Calibri" w:eastAsia="Calibri" w:hAnsi="Calibri" w:cs="Times New Roman"/>
          <w:color w:val="000000"/>
        </w:rPr>
        <w:t>G</w:t>
      </w:r>
      <w:r w:rsidR="009D2D2A">
        <w:rPr>
          <w:rFonts w:ascii="Calibri" w:eastAsia="Calibri" w:hAnsi="Calibri" w:cs="Times New Roman"/>
          <w:color w:val="000000"/>
        </w:rPr>
        <w:t>lava 01601) i</w:t>
      </w:r>
      <w:r w:rsidRPr="00E64964">
        <w:rPr>
          <w:rFonts w:ascii="Calibri" w:eastAsia="Calibri" w:hAnsi="Calibri" w:cs="Times New Roman"/>
          <w:color w:val="000000"/>
        </w:rPr>
        <w:t xml:space="preserve"> javn</w:t>
      </w:r>
      <w:r w:rsidR="00291C7C">
        <w:rPr>
          <w:rFonts w:ascii="Calibri" w:eastAsia="Calibri" w:hAnsi="Calibri" w:cs="Times New Roman"/>
          <w:color w:val="000000"/>
        </w:rPr>
        <w:t>a</w:t>
      </w:r>
      <w:r w:rsidRPr="00E64964">
        <w:rPr>
          <w:rFonts w:ascii="Calibri" w:eastAsia="Calibri" w:hAnsi="Calibri" w:cs="Times New Roman"/>
          <w:color w:val="000000"/>
        </w:rPr>
        <w:t xml:space="preserve"> ustanov</w:t>
      </w:r>
      <w:r w:rsidR="00291C7C">
        <w:rPr>
          <w:rFonts w:ascii="Calibri" w:eastAsia="Calibri" w:hAnsi="Calibri" w:cs="Times New Roman"/>
          <w:color w:val="000000"/>
        </w:rPr>
        <w:t>a</w:t>
      </w:r>
      <w:r w:rsidRPr="00E64964">
        <w:rPr>
          <w:rFonts w:ascii="Calibri" w:eastAsia="Calibri" w:hAnsi="Calibri" w:cs="Times New Roman"/>
          <w:color w:val="000000"/>
        </w:rPr>
        <w:t xml:space="preserve"> Zavod za prostorno uređenje</w:t>
      </w:r>
      <w:r w:rsidR="009D2D2A">
        <w:rPr>
          <w:rFonts w:ascii="Calibri" w:eastAsia="Calibri" w:hAnsi="Calibri" w:cs="Times New Roman"/>
          <w:color w:val="000000"/>
        </w:rPr>
        <w:t xml:space="preserve"> (</w:t>
      </w:r>
      <w:r w:rsidR="00291C7C">
        <w:rPr>
          <w:rFonts w:ascii="Calibri" w:eastAsia="Calibri" w:hAnsi="Calibri" w:cs="Times New Roman"/>
          <w:color w:val="000000"/>
        </w:rPr>
        <w:t>G</w:t>
      </w:r>
      <w:r w:rsidR="009D2D2A">
        <w:rPr>
          <w:rFonts w:ascii="Calibri" w:eastAsia="Calibri" w:hAnsi="Calibri" w:cs="Times New Roman"/>
          <w:color w:val="000000"/>
        </w:rPr>
        <w:t>lava 01602).</w:t>
      </w:r>
    </w:p>
    <w:p w14:paraId="562045EF" w14:textId="2B0C78D6" w:rsidR="00E64964" w:rsidRDefault="009D2D2A" w:rsidP="00E64964">
      <w:pPr>
        <w:suppressAutoHyphens/>
        <w:autoSpaceDN w:val="0"/>
        <w:spacing w:after="0" w:line="240" w:lineRule="auto"/>
        <w:jc w:val="both"/>
        <w:rPr>
          <w:rFonts w:ascii="Calibri" w:eastAsia="Calibri" w:hAnsi="Calibri" w:cs="Times New Roman"/>
          <w:color w:val="000000"/>
        </w:rPr>
      </w:pPr>
      <w:r>
        <w:rPr>
          <w:rFonts w:ascii="Calibri" w:eastAsia="Calibri" w:hAnsi="Calibri" w:cs="Times New Roman"/>
          <w:color w:val="000000"/>
        </w:rPr>
        <w:t xml:space="preserve">Prostorno uređenje, graditeljstvo i obnova  od ukupno planiranih </w:t>
      </w:r>
      <w:r w:rsidR="00291C7C" w:rsidRPr="006A0961">
        <w:rPr>
          <w:rFonts w:ascii="Calibri" w:eastAsia="Calibri" w:hAnsi="Calibri" w:cs="Times New Roman"/>
          <w:color w:val="000000"/>
          <w:u w:val="single"/>
        </w:rPr>
        <w:t>42</w:t>
      </w:r>
      <w:r w:rsidRPr="006A0961">
        <w:rPr>
          <w:rFonts w:ascii="Calibri" w:eastAsia="Calibri" w:hAnsi="Calibri" w:cs="Times New Roman"/>
          <w:color w:val="000000"/>
          <w:u w:val="single"/>
        </w:rPr>
        <w:t>0.000,00 kuna</w:t>
      </w:r>
      <w:r>
        <w:rPr>
          <w:rFonts w:ascii="Calibri" w:eastAsia="Calibri" w:hAnsi="Calibri" w:cs="Times New Roman"/>
          <w:color w:val="000000"/>
        </w:rPr>
        <w:t xml:space="preserve"> je realizirao </w:t>
      </w:r>
      <w:r w:rsidRPr="006A0961">
        <w:rPr>
          <w:rFonts w:ascii="Calibri" w:eastAsia="Calibri" w:hAnsi="Calibri" w:cs="Times New Roman"/>
          <w:color w:val="000000"/>
          <w:u w:val="single"/>
        </w:rPr>
        <w:t>3.876,47 kuna</w:t>
      </w:r>
      <w:r w:rsidR="001419F8">
        <w:rPr>
          <w:rFonts w:ascii="Calibri" w:eastAsia="Calibri" w:hAnsi="Calibri" w:cs="Times New Roman"/>
          <w:color w:val="000000"/>
        </w:rPr>
        <w:t>.</w:t>
      </w:r>
      <w:r w:rsidR="00E95DAC">
        <w:rPr>
          <w:rFonts w:ascii="Calibri" w:eastAsia="Calibri" w:hAnsi="Calibri" w:cs="Times New Roman"/>
          <w:color w:val="000000"/>
        </w:rPr>
        <w:t xml:space="preserve"> Utrošeni iznos je trošak članova Povjerenstva za stratešku procjenu utjecaja na okoliš V. izmjena i dopuna Prostornog plana Sisačko-moslavačke županije. Preostali planirani iznos za ovaj program nije utrošen a razlog je sljedeći:</w:t>
      </w:r>
    </w:p>
    <w:p w14:paraId="4F48EC92" w14:textId="77777777" w:rsidR="00291C7C" w:rsidRDefault="001419F8" w:rsidP="00291C7C">
      <w:pPr>
        <w:suppressAutoHyphens/>
        <w:autoSpaceDN w:val="0"/>
        <w:spacing w:after="0" w:line="240" w:lineRule="auto"/>
        <w:ind w:firstLine="708"/>
        <w:jc w:val="both"/>
        <w:rPr>
          <w:rFonts w:ascii="Calibri" w:eastAsia="Calibri" w:hAnsi="Calibri" w:cs="Times New Roman"/>
          <w:color w:val="000000"/>
        </w:rPr>
      </w:pPr>
      <w:r>
        <w:rPr>
          <w:rFonts w:ascii="Calibri" w:eastAsia="Calibri" w:hAnsi="Calibri" w:cs="Times New Roman"/>
          <w:color w:val="000000"/>
        </w:rPr>
        <w:t xml:space="preserve">U programu Dokumenti prostornog uređenja </w:t>
      </w:r>
      <w:r w:rsidR="00291C7C">
        <w:rPr>
          <w:rFonts w:ascii="Calibri" w:eastAsia="Calibri" w:hAnsi="Calibri" w:cs="Times New Roman"/>
          <w:color w:val="000000"/>
        </w:rPr>
        <w:t xml:space="preserve"> planirane su dvije aktivnosti i to:</w:t>
      </w:r>
    </w:p>
    <w:p w14:paraId="0249E916" w14:textId="0236A67C" w:rsidR="001419F8" w:rsidRDefault="00291C7C" w:rsidP="00BE7170">
      <w:pPr>
        <w:pStyle w:val="Odlomakpopisa"/>
        <w:numPr>
          <w:ilvl w:val="0"/>
          <w:numId w:val="10"/>
        </w:numPr>
        <w:suppressAutoHyphens/>
        <w:autoSpaceDN w:val="0"/>
        <w:spacing w:after="0" w:line="240" w:lineRule="auto"/>
        <w:ind w:left="709" w:hanging="283"/>
        <w:jc w:val="both"/>
        <w:rPr>
          <w:rFonts w:ascii="Calibri" w:eastAsia="Calibri" w:hAnsi="Calibri" w:cs="Times New Roman"/>
          <w:color w:val="000000"/>
        </w:rPr>
      </w:pPr>
      <w:r w:rsidRPr="00BE7170">
        <w:rPr>
          <w:rFonts w:ascii="Calibri" w:eastAsia="Calibri" w:hAnsi="Calibri" w:cs="Times New Roman"/>
          <w:b/>
          <w:bCs/>
          <w:color w:val="000000"/>
        </w:rPr>
        <w:t>Aktivnost 100001</w:t>
      </w:r>
      <w:r>
        <w:rPr>
          <w:rFonts w:ascii="Calibri" w:eastAsia="Calibri" w:hAnsi="Calibri" w:cs="Times New Roman"/>
          <w:color w:val="000000"/>
        </w:rPr>
        <w:t xml:space="preserve"> Prostorno uređenje i gradnja kroz koju </w:t>
      </w:r>
      <w:r w:rsidR="001419F8" w:rsidRPr="00291C7C">
        <w:rPr>
          <w:rFonts w:ascii="Calibri" w:eastAsia="Calibri" w:hAnsi="Calibri" w:cs="Times New Roman"/>
          <w:color w:val="000000"/>
        </w:rPr>
        <w:t xml:space="preserve">je planirana izrada prostornih planova i to: IV. izmjena i dopuna prostornog plana Sisačko-moslavačke županije, V. izmjena i dopuna Prostornog plana Sisačko-moslavačke županije, ostalih planova – iznos od </w:t>
      </w:r>
      <w:r w:rsidRPr="00291C7C">
        <w:rPr>
          <w:rFonts w:ascii="Calibri" w:eastAsia="Calibri" w:hAnsi="Calibri" w:cs="Times New Roman"/>
          <w:color w:val="000000"/>
        </w:rPr>
        <w:t>10</w:t>
      </w:r>
      <w:r w:rsidR="001419F8" w:rsidRPr="00291C7C">
        <w:rPr>
          <w:rFonts w:ascii="Calibri" w:eastAsia="Calibri" w:hAnsi="Calibri" w:cs="Times New Roman"/>
          <w:color w:val="000000"/>
        </w:rPr>
        <w:t>0.000,00 kuna</w:t>
      </w:r>
      <w:r w:rsidRPr="00291C7C">
        <w:rPr>
          <w:rFonts w:ascii="Calibri" w:eastAsia="Calibri" w:hAnsi="Calibri" w:cs="Times New Roman"/>
          <w:color w:val="000000"/>
        </w:rPr>
        <w:t xml:space="preserve">. </w:t>
      </w:r>
      <w:r w:rsidR="001419F8" w:rsidRPr="00291C7C">
        <w:rPr>
          <w:rFonts w:ascii="Calibri" w:eastAsia="Calibri" w:hAnsi="Calibri" w:cs="Times New Roman"/>
          <w:color w:val="000000"/>
        </w:rPr>
        <w:t>Navedeni iznos će biti utrošen do kraja godine, budući da su planovi za koje je namijenjen navedeni iznos u izradi</w:t>
      </w:r>
      <w:r w:rsidR="006A0961">
        <w:rPr>
          <w:rFonts w:ascii="Calibri" w:eastAsia="Calibri" w:hAnsi="Calibri" w:cs="Times New Roman"/>
          <w:color w:val="000000"/>
        </w:rPr>
        <w:t xml:space="preserve">, odnosno za V. izmjene i dopune Prostornog plana SMŽ je proveden postupak strateške procjene, </w:t>
      </w:r>
      <w:r w:rsidR="001419F8" w:rsidRPr="00291C7C">
        <w:rPr>
          <w:rFonts w:ascii="Calibri" w:eastAsia="Calibri" w:hAnsi="Calibri" w:cs="Times New Roman"/>
          <w:color w:val="000000"/>
        </w:rPr>
        <w:t>te</w:t>
      </w:r>
      <w:r w:rsidR="006A0961">
        <w:rPr>
          <w:rFonts w:ascii="Calibri" w:eastAsia="Calibri" w:hAnsi="Calibri" w:cs="Times New Roman"/>
          <w:color w:val="000000"/>
        </w:rPr>
        <w:t xml:space="preserve"> postupak javnog uvida i rasprave, dok je izrada IV. izmjena i dopuna Prostornog plana SMŽ i Strateške studije utjecaja na okoliš Plana u tijek</w:t>
      </w:r>
      <w:r w:rsidR="00BE7170">
        <w:rPr>
          <w:rFonts w:ascii="Calibri" w:eastAsia="Calibri" w:hAnsi="Calibri" w:cs="Times New Roman"/>
          <w:color w:val="000000"/>
        </w:rPr>
        <w:t>u, te se očekuje da će do kraja rujna započeti postupak strateške procjene utjecaja na okoliš IV. izmjene i dopuna Plana</w:t>
      </w:r>
      <w:r w:rsidR="001419F8" w:rsidRPr="00291C7C">
        <w:rPr>
          <w:rFonts w:ascii="Calibri" w:eastAsia="Calibri" w:hAnsi="Calibri" w:cs="Times New Roman"/>
          <w:color w:val="000000"/>
        </w:rPr>
        <w:t>.</w:t>
      </w:r>
      <w:r w:rsidR="00BE7170">
        <w:rPr>
          <w:rFonts w:ascii="Calibri" w:eastAsia="Calibri" w:hAnsi="Calibri" w:cs="Times New Roman"/>
          <w:color w:val="000000"/>
        </w:rPr>
        <w:t xml:space="preserve">  </w:t>
      </w:r>
    </w:p>
    <w:p w14:paraId="1077F688" w14:textId="7CF943C8" w:rsidR="001419F8" w:rsidRDefault="0032292E" w:rsidP="00E64964">
      <w:pPr>
        <w:pStyle w:val="Odlomakpopisa"/>
        <w:numPr>
          <w:ilvl w:val="0"/>
          <w:numId w:val="10"/>
        </w:numPr>
        <w:suppressAutoHyphens/>
        <w:autoSpaceDN w:val="0"/>
        <w:spacing w:after="0" w:line="240" w:lineRule="auto"/>
        <w:jc w:val="both"/>
        <w:rPr>
          <w:rFonts w:ascii="Calibri" w:eastAsia="Calibri" w:hAnsi="Calibri" w:cs="Times New Roman"/>
          <w:color w:val="000000"/>
        </w:rPr>
      </w:pPr>
      <w:r>
        <w:rPr>
          <w:rFonts w:ascii="Calibri" w:eastAsia="Calibri" w:hAnsi="Calibri" w:cs="Times New Roman"/>
          <w:color w:val="000000"/>
        </w:rPr>
        <w:t>Kroz ovu aktivnost je planiran i p</w:t>
      </w:r>
      <w:r w:rsidR="001419F8" w:rsidRPr="0032292E">
        <w:rPr>
          <w:rFonts w:ascii="Calibri" w:eastAsia="Calibri" w:hAnsi="Calibri" w:cs="Times New Roman"/>
          <w:color w:val="000000"/>
        </w:rPr>
        <w:t xml:space="preserve">ostupak strateške procjene utjecaja </w:t>
      </w:r>
      <w:r>
        <w:rPr>
          <w:rFonts w:ascii="Calibri" w:eastAsia="Calibri" w:hAnsi="Calibri" w:cs="Times New Roman"/>
          <w:color w:val="000000"/>
        </w:rPr>
        <w:t>IV</w:t>
      </w:r>
      <w:r w:rsidR="00BE7170">
        <w:rPr>
          <w:rFonts w:ascii="Calibri" w:eastAsia="Calibri" w:hAnsi="Calibri" w:cs="Times New Roman"/>
          <w:color w:val="000000"/>
        </w:rPr>
        <w:t>.</w:t>
      </w:r>
      <w:r>
        <w:rPr>
          <w:rFonts w:ascii="Calibri" w:eastAsia="Calibri" w:hAnsi="Calibri" w:cs="Times New Roman"/>
          <w:color w:val="000000"/>
        </w:rPr>
        <w:t xml:space="preserve"> izmjena i dopuna </w:t>
      </w:r>
      <w:r w:rsidR="001419F8" w:rsidRPr="0032292E">
        <w:rPr>
          <w:rFonts w:ascii="Calibri" w:eastAsia="Calibri" w:hAnsi="Calibri" w:cs="Times New Roman"/>
          <w:color w:val="000000"/>
        </w:rPr>
        <w:t>Plana na okoliš</w:t>
      </w:r>
      <w:r>
        <w:rPr>
          <w:rFonts w:ascii="Calibri" w:eastAsia="Calibri" w:hAnsi="Calibri" w:cs="Times New Roman"/>
          <w:color w:val="000000"/>
        </w:rPr>
        <w:t xml:space="preserve">. Za provedbu ovog postupaka potrebna je Strateška studija utjecaja na okoliš koja je ugovorena </w:t>
      </w:r>
      <w:r w:rsidR="00BE7170">
        <w:rPr>
          <w:rFonts w:ascii="Calibri" w:eastAsia="Calibri" w:hAnsi="Calibri" w:cs="Times New Roman"/>
          <w:color w:val="000000"/>
        </w:rPr>
        <w:t xml:space="preserve">i </w:t>
      </w:r>
      <w:r>
        <w:rPr>
          <w:rFonts w:ascii="Calibri" w:eastAsia="Calibri" w:hAnsi="Calibri" w:cs="Times New Roman"/>
          <w:color w:val="000000"/>
        </w:rPr>
        <w:t xml:space="preserve">u tijeku je izrada iste, </w:t>
      </w:r>
      <w:r w:rsidR="001419F8" w:rsidRPr="0032292E">
        <w:rPr>
          <w:rFonts w:ascii="Calibri" w:eastAsia="Calibri" w:hAnsi="Calibri" w:cs="Times New Roman"/>
          <w:color w:val="000000"/>
        </w:rPr>
        <w:t>a troškovi će biti plaćeni po završenom postupku (iznos od 200.000,00 kuna).</w:t>
      </w:r>
    </w:p>
    <w:p w14:paraId="2BF0C41B" w14:textId="7CB08AD3" w:rsidR="001419F8" w:rsidRDefault="0032292E" w:rsidP="00E64964">
      <w:pPr>
        <w:pStyle w:val="Odlomakpopisa"/>
        <w:numPr>
          <w:ilvl w:val="0"/>
          <w:numId w:val="10"/>
        </w:numPr>
        <w:suppressAutoHyphens/>
        <w:autoSpaceDN w:val="0"/>
        <w:spacing w:after="0" w:line="240" w:lineRule="auto"/>
        <w:jc w:val="both"/>
        <w:rPr>
          <w:rFonts w:ascii="Calibri" w:eastAsia="Calibri" w:hAnsi="Calibri" w:cs="Times New Roman"/>
          <w:color w:val="000000"/>
        </w:rPr>
      </w:pPr>
      <w:r>
        <w:rPr>
          <w:rFonts w:ascii="Calibri" w:eastAsia="Calibri" w:hAnsi="Calibri" w:cs="Times New Roman"/>
          <w:color w:val="000000"/>
        </w:rPr>
        <w:t>Kroz ovu aktivnost je planiran i i</w:t>
      </w:r>
      <w:r w:rsidR="001419F8" w:rsidRPr="0032292E">
        <w:rPr>
          <w:rFonts w:ascii="Calibri" w:eastAsia="Calibri" w:hAnsi="Calibri" w:cs="Times New Roman"/>
          <w:color w:val="000000"/>
        </w:rPr>
        <w:t>znos od 20.000,00 kuna za provedbu javne rasprave</w:t>
      </w:r>
      <w:r>
        <w:rPr>
          <w:rFonts w:ascii="Calibri" w:eastAsia="Calibri" w:hAnsi="Calibri" w:cs="Times New Roman"/>
          <w:color w:val="000000"/>
        </w:rPr>
        <w:t>, a isti</w:t>
      </w:r>
      <w:r w:rsidR="001419F8" w:rsidRPr="0032292E">
        <w:rPr>
          <w:rFonts w:ascii="Calibri" w:eastAsia="Calibri" w:hAnsi="Calibri" w:cs="Times New Roman"/>
          <w:color w:val="000000"/>
        </w:rPr>
        <w:t xml:space="preserve"> nije utrošen jer </w:t>
      </w:r>
      <w:r>
        <w:rPr>
          <w:rFonts w:ascii="Calibri" w:eastAsia="Calibri" w:hAnsi="Calibri" w:cs="Times New Roman"/>
          <w:color w:val="000000"/>
        </w:rPr>
        <w:t xml:space="preserve">je izrada </w:t>
      </w:r>
      <w:r w:rsidR="001419F8" w:rsidRPr="0032292E">
        <w:rPr>
          <w:rFonts w:ascii="Calibri" w:eastAsia="Calibri" w:hAnsi="Calibri" w:cs="Times New Roman"/>
          <w:color w:val="000000"/>
        </w:rPr>
        <w:t xml:space="preserve">IV. izmjene i dopune Prostornog plana SMŽ </w:t>
      </w:r>
      <w:r>
        <w:rPr>
          <w:rFonts w:ascii="Calibri" w:eastAsia="Calibri" w:hAnsi="Calibri" w:cs="Times New Roman"/>
          <w:color w:val="000000"/>
        </w:rPr>
        <w:t>u tijeku, te će javni uvid i rasprava biti održani po završetku izrade Plana</w:t>
      </w:r>
      <w:r w:rsidR="001419F8" w:rsidRPr="0032292E">
        <w:rPr>
          <w:rFonts w:ascii="Calibri" w:eastAsia="Calibri" w:hAnsi="Calibri" w:cs="Times New Roman"/>
          <w:color w:val="000000"/>
        </w:rPr>
        <w:t xml:space="preserve"> i Strateške studije.</w:t>
      </w:r>
    </w:p>
    <w:p w14:paraId="1BCAB22C" w14:textId="7EC37149" w:rsidR="0032292E" w:rsidRDefault="0032292E" w:rsidP="00E64964">
      <w:pPr>
        <w:pStyle w:val="Odlomakpopisa"/>
        <w:numPr>
          <w:ilvl w:val="0"/>
          <w:numId w:val="10"/>
        </w:numPr>
        <w:suppressAutoHyphens/>
        <w:autoSpaceDN w:val="0"/>
        <w:spacing w:after="0" w:line="240" w:lineRule="auto"/>
        <w:jc w:val="both"/>
        <w:rPr>
          <w:rFonts w:ascii="Calibri" w:eastAsia="Calibri" w:hAnsi="Calibri" w:cs="Times New Roman"/>
          <w:color w:val="000000"/>
        </w:rPr>
      </w:pPr>
      <w:r>
        <w:rPr>
          <w:rFonts w:ascii="Calibri" w:eastAsia="Calibri" w:hAnsi="Calibri" w:cs="Times New Roman"/>
          <w:color w:val="000000"/>
        </w:rPr>
        <w:lastRenderedPageBreak/>
        <w:t>Kako je u postupku strateške procjene imenovano Povjerenstvo za stratešku procjenu, te kako članovi Povjerenstva imaju pravo na naknadu za svoj rad, sredstva u iznosu od</w:t>
      </w:r>
      <w:r w:rsidR="002A04B8">
        <w:rPr>
          <w:rFonts w:ascii="Calibri" w:eastAsia="Calibri" w:hAnsi="Calibri" w:cs="Times New Roman"/>
          <w:color w:val="000000"/>
        </w:rPr>
        <w:t xml:space="preserve"> </w:t>
      </w:r>
      <w:r>
        <w:rPr>
          <w:rFonts w:ascii="Calibri" w:eastAsia="Calibri" w:hAnsi="Calibri" w:cs="Times New Roman"/>
          <w:color w:val="000000"/>
        </w:rPr>
        <w:t>3.876,47 kuna su utrošena za troškove članova Povjerenstva (koji su u ožujku održali dvije sjednice i izradili Mišljenje na Stratešku studiju utjecaja na okoliš V. izmjena i dopuna Prostornog plana SMŽ. Navedena sredstava su osigurana iz drugih izvora</w:t>
      </w:r>
      <w:r w:rsidR="002A04B8">
        <w:rPr>
          <w:rFonts w:ascii="Calibri" w:eastAsia="Calibri" w:hAnsi="Calibri" w:cs="Times New Roman"/>
          <w:color w:val="000000"/>
        </w:rPr>
        <w:t>.</w:t>
      </w:r>
      <w:r w:rsidR="00BE7170">
        <w:rPr>
          <w:rFonts w:ascii="Calibri" w:eastAsia="Calibri" w:hAnsi="Calibri" w:cs="Times New Roman"/>
          <w:color w:val="000000"/>
        </w:rPr>
        <w:t>).</w:t>
      </w:r>
    </w:p>
    <w:p w14:paraId="027051AA" w14:textId="28B6BC13" w:rsidR="002A04B8" w:rsidRPr="002A04B8" w:rsidRDefault="002A04B8" w:rsidP="002A04B8">
      <w:pPr>
        <w:pStyle w:val="Odlomakpopisa"/>
        <w:numPr>
          <w:ilvl w:val="0"/>
          <w:numId w:val="10"/>
        </w:numPr>
        <w:suppressAutoHyphens/>
        <w:autoSpaceDN w:val="0"/>
        <w:spacing w:after="0" w:line="240" w:lineRule="auto"/>
        <w:jc w:val="both"/>
        <w:rPr>
          <w:rFonts w:ascii="Calibri" w:eastAsia="Calibri" w:hAnsi="Calibri" w:cs="Times New Roman"/>
          <w:color w:val="000000"/>
        </w:rPr>
      </w:pPr>
      <w:r w:rsidRPr="00BE7170">
        <w:rPr>
          <w:rFonts w:ascii="Calibri" w:eastAsia="Calibri" w:hAnsi="Calibri" w:cs="Times New Roman"/>
          <w:b/>
          <w:bCs/>
          <w:color w:val="000000"/>
        </w:rPr>
        <w:t>Aktivnost 100002</w:t>
      </w:r>
      <w:r>
        <w:rPr>
          <w:rFonts w:ascii="Calibri" w:eastAsia="Calibri" w:hAnsi="Calibri" w:cs="Times New Roman"/>
          <w:color w:val="000000"/>
        </w:rPr>
        <w:t xml:space="preserve"> Izrada Plana približnih vrijednosti nekretnina je aktivnost za koju su planirana sredstva u iznosu od 100.000,00 kuna, a sredstva su planirana za izradu navedenog dokumenta, sukladno zakonskoj obvezi koju županija ima po </w:t>
      </w:r>
      <w:r w:rsidRPr="002A04B8">
        <w:rPr>
          <w:rFonts w:ascii="Calibri" w:eastAsia="Times New Roman" w:hAnsi="Calibri" w:cs="Calibri"/>
          <w:lang w:eastAsia="hr-HR"/>
        </w:rPr>
        <w:t>Zakonu o procjeni vrijednosti nekretnina</w:t>
      </w:r>
      <w:r>
        <w:rPr>
          <w:rFonts w:ascii="Calibri" w:eastAsia="Times New Roman" w:hAnsi="Calibri" w:cs="Calibri"/>
          <w:lang w:eastAsia="hr-HR"/>
        </w:rPr>
        <w:t>. Sredstva do kraja lipnja nisu utrošena, a obzirom da će Upravni odjel sam izraditi navedeni dokument ista će biti preraspoređena do kraja godine.</w:t>
      </w:r>
    </w:p>
    <w:p w14:paraId="508C7A80" w14:textId="5BEFB4E6" w:rsidR="00E95DAC" w:rsidRDefault="006A0961" w:rsidP="00E64964">
      <w:pPr>
        <w:suppressAutoHyphens/>
        <w:autoSpaceDN w:val="0"/>
        <w:spacing w:after="0" w:line="240" w:lineRule="auto"/>
        <w:jc w:val="both"/>
        <w:rPr>
          <w:rFonts w:ascii="Calibri" w:eastAsia="Calibri" w:hAnsi="Calibri" w:cs="Times New Roman"/>
          <w:color w:val="000000"/>
        </w:rPr>
      </w:pPr>
      <w:r>
        <w:rPr>
          <w:rFonts w:ascii="Calibri" w:eastAsia="Calibri" w:hAnsi="Calibri" w:cs="Times New Roman"/>
          <w:color w:val="000000"/>
        </w:rPr>
        <w:t>Planirani iznos od 2.774.242,00 kuna za Zavod za prostorno uređenje SMŽ je realiziran s 1.094.074,98 kuna, a o</w:t>
      </w:r>
      <w:r w:rsidR="00E95DAC">
        <w:rPr>
          <w:rFonts w:ascii="Calibri" w:eastAsia="Calibri" w:hAnsi="Calibri" w:cs="Times New Roman"/>
          <w:color w:val="000000"/>
        </w:rPr>
        <w:t>brazloženje za realizaciju proračuna Glave 01602 Zavod za prostorno uređenje daje ravnatelj Zavoda.</w:t>
      </w:r>
    </w:p>
    <w:tbl>
      <w:tblPr>
        <w:tblW w:w="961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11"/>
      </w:tblGrid>
      <w:tr w:rsidR="00E64964" w:rsidRPr="00E64964" w14:paraId="23FD95B4" w14:textId="77777777" w:rsidTr="00BE7170">
        <w:tc>
          <w:tcPr>
            <w:tcW w:w="9611" w:type="dxa"/>
            <w:tcBorders>
              <w:top w:val="single" w:sz="4" w:space="0" w:color="auto"/>
              <w:left w:val="single" w:sz="4" w:space="0" w:color="auto"/>
              <w:bottom w:val="single" w:sz="4" w:space="0" w:color="auto"/>
              <w:right w:val="single" w:sz="4" w:space="0" w:color="auto"/>
            </w:tcBorders>
            <w:vAlign w:val="center"/>
            <w:hideMark/>
          </w:tcPr>
          <w:p w14:paraId="1F4B3A05" w14:textId="77777777" w:rsidR="00E64964" w:rsidRPr="00E64964" w:rsidRDefault="00E64964" w:rsidP="00E64964">
            <w:pPr>
              <w:widowControl w:val="0"/>
              <w:suppressAutoHyphens/>
              <w:spacing w:after="0" w:line="240" w:lineRule="auto"/>
              <w:jc w:val="center"/>
              <w:rPr>
                <w:rFonts w:ascii="Calibri" w:eastAsia="SimSun" w:hAnsi="Calibri" w:cs="Calibri"/>
                <w:b/>
                <w:kern w:val="2"/>
                <w:lang w:eastAsia="hi-IN" w:bidi="hi-IN"/>
              </w:rPr>
            </w:pPr>
            <w:r w:rsidRPr="00E64964">
              <w:rPr>
                <w:rFonts w:ascii="Calibri" w:eastAsia="SimSun" w:hAnsi="Calibri" w:cs="Calibri"/>
                <w:b/>
                <w:kern w:val="2"/>
                <w:lang w:eastAsia="hi-IN" w:bidi="hi-IN"/>
              </w:rPr>
              <w:t>Program 1001 - Dokumenti prostornog uređenja</w:t>
            </w:r>
          </w:p>
        </w:tc>
      </w:tr>
      <w:tr w:rsidR="00E64964" w:rsidRPr="00E64964" w14:paraId="6793C88E" w14:textId="77777777" w:rsidTr="00BE7170">
        <w:trPr>
          <w:trHeight w:val="2825"/>
        </w:trPr>
        <w:tc>
          <w:tcPr>
            <w:tcW w:w="9611" w:type="dxa"/>
            <w:tcBorders>
              <w:top w:val="single" w:sz="4" w:space="0" w:color="auto"/>
              <w:left w:val="single" w:sz="4" w:space="0" w:color="auto"/>
              <w:bottom w:val="single" w:sz="4" w:space="0" w:color="auto"/>
              <w:right w:val="single" w:sz="4" w:space="0" w:color="auto"/>
            </w:tcBorders>
          </w:tcPr>
          <w:p w14:paraId="037C29D2" w14:textId="7FB61177" w:rsidR="00E64964" w:rsidRPr="00E64964" w:rsidRDefault="00E64964" w:rsidP="00E64964">
            <w:pPr>
              <w:widowControl w:val="0"/>
              <w:suppressAutoHyphens/>
              <w:spacing w:after="0" w:line="240" w:lineRule="auto"/>
              <w:jc w:val="both"/>
              <w:rPr>
                <w:rFonts w:ascii="Calibri" w:eastAsia="SimSun" w:hAnsi="Calibri" w:cs="Calibri"/>
                <w:kern w:val="2"/>
                <w:sz w:val="8"/>
                <w:szCs w:val="8"/>
                <w:lang w:eastAsia="hi-IN" w:bidi="hi-IN"/>
              </w:rPr>
            </w:pPr>
            <w:r w:rsidRPr="00E64964">
              <w:rPr>
                <w:rFonts w:ascii="Calibri" w:eastAsia="SimSun" w:hAnsi="Calibri" w:cs="Calibri"/>
                <w:b/>
                <w:kern w:val="2"/>
                <w:lang w:eastAsia="hi-IN" w:bidi="hi-IN"/>
              </w:rPr>
              <w:t>Cilj programa</w:t>
            </w:r>
            <w:r w:rsidRPr="00E64964">
              <w:rPr>
                <w:rFonts w:ascii="Calibri" w:eastAsia="SimSun" w:hAnsi="Calibri" w:cs="Calibri"/>
                <w:bCs/>
                <w:kern w:val="2"/>
                <w:lang w:eastAsia="hi-IN" w:bidi="hi-IN"/>
              </w:rPr>
              <w:t xml:space="preserve"> </w:t>
            </w:r>
            <w:r w:rsidRPr="001264F1">
              <w:rPr>
                <w:rFonts w:ascii="Calibri" w:eastAsia="SimSun" w:hAnsi="Calibri" w:cs="Calibri"/>
                <w:bCs/>
                <w:kern w:val="2"/>
                <w:lang w:eastAsia="hi-IN" w:bidi="hi-IN"/>
              </w:rPr>
              <w:t>je o</w:t>
            </w:r>
            <w:r w:rsidRPr="00E64964">
              <w:rPr>
                <w:rFonts w:ascii="Calibri" w:eastAsia="SimSun" w:hAnsi="Calibri" w:cs="Calibri"/>
                <w:kern w:val="2"/>
                <w:lang w:eastAsia="hi-IN" w:bidi="hi-IN"/>
              </w:rPr>
              <w:t>snažiti  institucionalne kapacitete za strateško i prostorno planiranje, te osigurati  zakonske i prostorne  mogućnosti za gospodarski, ekonomski, kulturni  i drugi razvoj Županije, sukladno zakonskim propisima i prostorno-planskoj dokumentaciji</w:t>
            </w:r>
            <w:r w:rsidR="00CC74EA">
              <w:rPr>
                <w:rFonts w:ascii="Calibri" w:eastAsia="SimSun" w:hAnsi="Calibri" w:cs="Calibri"/>
                <w:kern w:val="2"/>
                <w:lang w:eastAsia="hi-IN" w:bidi="hi-IN"/>
              </w:rPr>
              <w:t xml:space="preserve">. Ovaj program obuhvaća i izradu i </w:t>
            </w:r>
            <w:r w:rsidR="001264F1">
              <w:rPr>
                <w:rFonts w:ascii="Calibri" w:eastAsia="SimSun" w:hAnsi="Calibri" w:cs="Calibri"/>
                <w:kern w:val="2"/>
                <w:lang w:eastAsia="hi-IN" w:bidi="hi-IN"/>
              </w:rPr>
              <w:t>donošenje novih prostornih planova</w:t>
            </w:r>
            <w:r w:rsidR="00CC74EA">
              <w:rPr>
                <w:rFonts w:ascii="Calibri" w:eastAsia="SimSun" w:hAnsi="Calibri" w:cs="Calibri"/>
                <w:kern w:val="2"/>
                <w:lang w:eastAsia="hi-IN" w:bidi="hi-IN"/>
              </w:rPr>
              <w:t xml:space="preserve">, odnosno </w:t>
            </w:r>
            <w:r w:rsidR="001264F1">
              <w:rPr>
                <w:rFonts w:ascii="Calibri" w:eastAsia="SimSun" w:hAnsi="Calibri" w:cs="Calibri"/>
                <w:kern w:val="2"/>
                <w:lang w:eastAsia="hi-IN" w:bidi="hi-IN"/>
              </w:rPr>
              <w:t>izmjen</w:t>
            </w:r>
            <w:r w:rsidR="00CC74EA">
              <w:rPr>
                <w:rFonts w:ascii="Calibri" w:eastAsia="SimSun" w:hAnsi="Calibri" w:cs="Calibri"/>
                <w:kern w:val="2"/>
                <w:lang w:eastAsia="hi-IN" w:bidi="hi-IN"/>
              </w:rPr>
              <w:t>e</w:t>
            </w:r>
            <w:r w:rsidR="001264F1">
              <w:rPr>
                <w:rFonts w:ascii="Calibri" w:eastAsia="SimSun" w:hAnsi="Calibri" w:cs="Calibri"/>
                <w:kern w:val="2"/>
                <w:lang w:eastAsia="hi-IN" w:bidi="hi-IN"/>
              </w:rPr>
              <w:t xml:space="preserve"> i dopun</w:t>
            </w:r>
            <w:r w:rsidR="00CC74EA">
              <w:rPr>
                <w:rFonts w:ascii="Calibri" w:eastAsia="SimSun" w:hAnsi="Calibri" w:cs="Calibri"/>
                <w:kern w:val="2"/>
                <w:lang w:eastAsia="hi-IN" w:bidi="hi-IN"/>
              </w:rPr>
              <w:t>e</w:t>
            </w:r>
            <w:r w:rsidR="001264F1">
              <w:rPr>
                <w:rFonts w:ascii="Calibri" w:eastAsia="SimSun" w:hAnsi="Calibri" w:cs="Calibri"/>
                <w:kern w:val="2"/>
                <w:lang w:eastAsia="hi-IN" w:bidi="hi-IN"/>
              </w:rPr>
              <w:t xml:space="preserve"> istih.</w:t>
            </w:r>
            <w:r w:rsidR="00BE7170">
              <w:rPr>
                <w:rFonts w:ascii="Calibri" w:eastAsia="SimSun" w:hAnsi="Calibri" w:cs="Calibri"/>
                <w:kern w:val="2"/>
                <w:lang w:eastAsia="hi-IN" w:bidi="hi-IN"/>
              </w:rPr>
              <w:t xml:space="preserve"> </w:t>
            </w:r>
            <w:r w:rsidRPr="00E64964">
              <w:rPr>
                <w:rFonts w:ascii="Calibri" w:eastAsia="SimSun" w:hAnsi="Calibri" w:cs="Calibri"/>
                <w:kern w:val="2"/>
                <w:lang w:eastAsia="hi-IN" w:bidi="hi-IN"/>
              </w:rPr>
              <w:t>Program obuhvaća poslove na vođenju postupaka</w:t>
            </w:r>
            <w:r w:rsidR="00CC74EA">
              <w:rPr>
                <w:rFonts w:ascii="Calibri" w:eastAsia="SimSun" w:hAnsi="Calibri" w:cs="Calibri"/>
                <w:kern w:val="2"/>
                <w:lang w:eastAsia="hi-IN" w:bidi="hi-IN"/>
              </w:rPr>
              <w:t>,</w:t>
            </w:r>
            <w:r w:rsidRPr="00E64964">
              <w:rPr>
                <w:rFonts w:ascii="Calibri" w:eastAsia="SimSun" w:hAnsi="Calibri" w:cs="Calibri"/>
                <w:kern w:val="2"/>
                <w:lang w:eastAsia="hi-IN" w:bidi="hi-IN"/>
              </w:rPr>
              <w:t xml:space="preserve"> te donošenje rješenja iz područja prostornog uređenja i gradnje, predlaganje županu izdavanja suglasnosti na prostorne planove JLS-a,  vođenje postupaka izrade i donošenja akata prostornog uređenja u nadležnosti županije i dr. (Izdavanje akata je propisano zakonom, a provodi se po zahtjevu stranaka.) </w:t>
            </w:r>
          </w:p>
          <w:p w14:paraId="68C72FB7" w14:textId="2F0C3B13" w:rsidR="00E64964" w:rsidRPr="00E64964" w:rsidRDefault="00E64964" w:rsidP="00E64964">
            <w:pPr>
              <w:widowControl w:val="0"/>
              <w:suppressAutoHyphens/>
              <w:spacing w:after="0" w:line="240" w:lineRule="auto"/>
              <w:jc w:val="both"/>
              <w:rPr>
                <w:rFonts w:ascii="Calibri" w:eastAsia="SimSun" w:hAnsi="Calibri" w:cs="Calibri"/>
                <w:kern w:val="2"/>
                <w:lang w:eastAsia="hi-IN" w:bidi="hi-IN"/>
              </w:rPr>
            </w:pPr>
            <w:r w:rsidRPr="00E64964">
              <w:rPr>
                <w:rFonts w:ascii="Calibri" w:eastAsia="SimSun" w:hAnsi="Calibri" w:cs="Calibri"/>
                <w:kern w:val="2"/>
                <w:lang w:eastAsia="hi-IN" w:bidi="hi-IN"/>
              </w:rPr>
              <w:t>Ovaj program obuhvaća i postupke vođenja registra e-Nekretnina, izdavanja informacija i izvadaka, te izradu Plana približnih vrijednosti nekretnina na području SMŽ, a za potrebe procjene vrijednosti nekretnina koje se prodaju, unajmljuju i sl.</w:t>
            </w:r>
            <w:r w:rsidR="00BE7170">
              <w:rPr>
                <w:rFonts w:ascii="Calibri" w:eastAsia="SimSun" w:hAnsi="Calibri" w:cs="Calibri"/>
                <w:kern w:val="2"/>
                <w:lang w:eastAsia="hi-IN" w:bidi="hi-IN"/>
              </w:rPr>
              <w:t xml:space="preserve"> </w:t>
            </w:r>
            <w:r w:rsidRPr="00E64964">
              <w:rPr>
                <w:rFonts w:ascii="Calibri" w:eastAsia="SimSun" w:hAnsi="Calibri" w:cs="Calibri"/>
                <w:kern w:val="2"/>
                <w:lang w:eastAsia="hi-IN" w:bidi="hi-IN"/>
              </w:rPr>
              <w:t>Provedba programa prati se kroz broj izdanih akta, izrađenih dokumenata, pa je tako od 1.1. do 30. 06. 202</w:t>
            </w:r>
            <w:r w:rsidR="00B9277F">
              <w:rPr>
                <w:rFonts w:ascii="Calibri" w:eastAsia="SimSun" w:hAnsi="Calibri" w:cs="Calibri"/>
                <w:kern w:val="2"/>
                <w:lang w:eastAsia="hi-IN" w:bidi="hi-IN"/>
              </w:rPr>
              <w:t>2</w:t>
            </w:r>
            <w:r w:rsidRPr="00E64964">
              <w:rPr>
                <w:rFonts w:ascii="Calibri" w:eastAsia="SimSun" w:hAnsi="Calibri" w:cs="Calibri"/>
                <w:kern w:val="2"/>
                <w:lang w:eastAsia="hi-IN" w:bidi="hi-IN"/>
              </w:rPr>
              <w:t xml:space="preserve">. izdano ukupno </w:t>
            </w:r>
            <w:r w:rsidRPr="00E64964">
              <w:rPr>
                <w:rFonts w:ascii="Calibri" w:eastAsia="SimSun" w:hAnsi="Calibri" w:cs="Calibri"/>
                <w:b/>
                <w:bCs/>
                <w:kern w:val="2"/>
                <w:lang w:eastAsia="hi-IN" w:bidi="hi-IN"/>
              </w:rPr>
              <w:t>1</w:t>
            </w:r>
            <w:r w:rsidR="00B9277F">
              <w:rPr>
                <w:rFonts w:ascii="Calibri" w:eastAsia="SimSun" w:hAnsi="Calibri" w:cs="Calibri"/>
                <w:b/>
                <w:bCs/>
                <w:kern w:val="2"/>
                <w:lang w:eastAsia="hi-IN" w:bidi="hi-IN"/>
              </w:rPr>
              <w:t xml:space="preserve"> 482</w:t>
            </w:r>
            <w:r w:rsidRPr="00E64964">
              <w:rPr>
                <w:rFonts w:ascii="Calibri" w:eastAsia="SimSun" w:hAnsi="Calibri" w:cs="Calibri"/>
                <w:kern w:val="2"/>
                <w:lang w:eastAsia="hi-IN" w:bidi="hi-IN"/>
              </w:rPr>
              <w:t xml:space="preserve"> akta prostornog uređenja i gradnje</w:t>
            </w:r>
            <w:r w:rsidR="00561589">
              <w:rPr>
                <w:rFonts w:ascii="Calibri" w:eastAsia="SimSun" w:hAnsi="Calibri" w:cs="Calibri"/>
                <w:kern w:val="2"/>
                <w:lang w:eastAsia="hi-IN" w:bidi="hi-IN"/>
              </w:rPr>
              <w:t>, što je</w:t>
            </w:r>
            <w:r w:rsidR="00BE7170">
              <w:rPr>
                <w:rFonts w:ascii="Calibri" w:eastAsia="SimSun" w:hAnsi="Calibri" w:cs="Calibri"/>
                <w:kern w:val="2"/>
                <w:lang w:eastAsia="hi-IN" w:bidi="hi-IN"/>
              </w:rPr>
              <w:t xml:space="preserve"> za 42 akta više nego u istom</w:t>
            </w:r>
            <w:r w:rsidRPr="00E64964">
              <w:rPr>
                <w:rFonts w:ascii="Calibri" w:eastAsia="SimSun" w:hAnsi="Calibri" w:cs="Calibri"/>
                <w:kern w:val="2"/>
                <w:lang w:eastAsia="hi-IN" w:bidi="hi-IN"/>
              </w:rPr>
              <w:t xml:space="preserve"> razdoblj</w:t>
            </w:r>
            <w:r w:rsidR="00240F4B">
              <w:rPr>
                <w:rFonts w:ascii="Calibri" w:eastAsia="SimSun" w:hAnsi="Calibri" w:cs="Calibri"/>
                <w:kern w:val="2"/>
                <w:lang w:eastAsia="hi-IN" w:bidi="hi-IN"/>
              </w:rPr>
              <w:t>u</w:t>
            </w:r>
            <w:r w:rsidRPr="00E64964">
              <w:rPr>
                <w:rFonts w:ascii="Calibri" w:eastAsia="SimSun" w:hAnsi="Calibri" w:cs="Calibri"/>
                <w:kern w:val="2"/>
                <w:lang w:eastAsia="hi-IN" w:bidi="hi-IN"/>
              </w:rPr>
              <w:t xml:space="preserve"> prošle</w:t>
            </w:r>
            <w:r w:rsidR="00CC74EA">
              <w:rPr>
                <w:rFonts w:ascii="Calibri" w:eastAsia="SimSun" w:hAnsi="Calibri" w:cs="Calibri"/>
                <w:kern w:val="2"/>
                <w:lang w:eastAsia="hi-IN" w:bidi="hi-IN"/>
              </w:rPr>
              <w:t xml:space="preserve"> godine</w:t>
            </w:r>
            <w:r w:rsidRPr="00E64964">
              <w:rPr>
                <w:rFonts w:ascii="Calibri" w:eastAsia="SimSun" w:hAnsi="Calibri" w:cs="Calibri"/>
                <w:kern w:val="2"/>
                <w:lang w:eastAsia="hi-IN" w:bidi="hi-IN"/>
              </w:rPr>
              <w:t>.</w:t>
            </w:r>
            <w:r w:rsidR="00240F4B">
              <w:rPr>
                <w:rFonts w:ascii="Calibri" w:eastAsia="SimSun" w:hAnsi="Calibri" w:cs="Calibri"/>
                <w:kern w:val="2"/>
                <w:lang w:eastAsia="hi-IN" w:bidi="hi-IN"/>
              </w:rPr>
              <w:t xml:space="preserve"> Što se tiče </w:t>
            </w:r>
            <w:r w:rsidRPr="00E64964">
              <w:rPr>
                <w:rFonts w:ascii="Calibri" w:eastAsia="SimSun" w:hAnsi="Calibri" w:cs="Calibri"/>
                <w:kern w:val="2"/>
                <w:lang w:eastAsia="hi-IN" w:bidi="hi-IN"/>
              </w:rPr>
              <w:t xml:space="preserve">procjene vrijednosti nekretnina </w:t>
            </w:r>
            <w:r w:rsidR="00240F4B">
              <w:rPr>
                <w:rFonts w:ascii="Calibri" w:eastAsia="SimSun" w:hAnsi="Calibri" w:cs="Calibri"/>
                <w:kern w:val="2"/>
                <w:lang w:eastAsia="hi-IN" w:bidi="hi-IN"/>
              </w:rPr>
              <w:t>d</w:t>
            </w:r>
            <w:r w:rsidRPr="00E64964">
              <w:rPr>
                <w:rFonts w:ascii="Calibri" w:eastAsia="SimSun" w:hAnsi="Calibri" w:cs="Calibri"/>
                <w:kern w:val="2"/>
                <w:lang w:eastAsia="hi-IN" w:bidi="hi-IN"/>
              </w:rPr>
              <w:t>o 30. 06. 20</w:t>
            </w:r>
            <w:r w:rsidR="00561589">
              <w:rPr>
                <w:rFonts w:ascii="Calibri" w:eastAsia="SimSun" w:hAnsi="Calibri" w:cs="Calibri"/>
                <w:kern w:val="2"/>
                <w:lang w:eastAsia="hi-IN" w:bidi="hi-IN"/>
              </w:rPr>
              <w:t>2</w:t>
            </w:r>
            <w:r w:rsidR="00B9277F">
              <w:rPr>
                <w:rFonts w:ascii="Calibri" w:eastAsia="SimSun" w:hAnsi="Calibri" w:cs="Calibri"/>
                <w:kern w:val="2"/>
                <w:lang w:eastAsia="hi-IN" w:bidi="hi-IN"/>
              </w:rPr>
              <w:t>2</w:t>
            </w:r>
            <w:r w:rsidRPr="00E64964">
              <w:rPr>
                <w:rFonts w:ascii="Calibri" w:eastAsia="SimSun" w:hAnsi="Calibri" w:cs="Calibri"/>
                <w:kern w:val="2"/>
                <w:lang w:eastAsia="hi-IN" w:bidi="hi-IN"/>
              </w:rPr>
              <w:t xml:space="preserve">. izdana su </w:t>
            </w:r>
            <w:r w:rsidR="00B9277F">
              <w:rPr>
                <w:rFonts w:ascii="Calibri" w:eastAsia="SimSun" w:hAnsi="Calibri" w:cs="Calibri"/>
                <w:kern w:val="2"/>
                <w:lang w:eastAsia="hi-IN" w:bidi="hi-IN"/>
              </w:rPr>
              <w:t>115</w:t>
            </w:r>
            <w:r w:rsidR="00561589">
              <w:rPr>
                <w:rFonts w:ascii="Calibri" w:eastAsia="SimSun" w:hAnsi="Calibri" w:cs="Calibri"/>
                <w:kern w:val="2"/>
                <w:lang w:eastAsia="hi-IN" w:bidi="hi-IN"/>
              </w:rPr>
              <w:t xml:space="preserve"> </w:t>
            </w:r>
            <w:r w:rsidRPr="00E64964">
              <w:rPr>
                <w:rFonts w:ascii="Calibri" w:eastAsia="SimSun" w:hAnsi="Calibri" w:cs="Calibri"/>
                <w:kern w:val="2"/>
                <w:lang w:eastAsia="hi-IN" w:bidi="hi-IN"/>
              </w:rPr>
              <w:t xml:space="preserve">izvatka iz baze podataka, što je </w:t>
            </w:r>
            <w:r w:rsidR="00B9277F">
              <w:rPr>
                <w:rFonts w:ascii="Calibri" w:eastAsia="SimSun" w:hAnsi="Calibri" w:cs="Calibri"/>
                <w:kern w:val="2"/>
                <w:lang w:eastAsia="hi-IN" w:bidi="hi-IN"/>
              </w:rPr>
              <w:t>više od</w:t>
            </w:r>
            <w:r w:rsidRPr="00E64964">
              <w:rPr>
                <w:rFonts w:ascii="Calibri" w:eastAsia="SimSun" w:hAnsi="Calibri" w:cs="Calibri"/>
                <w:kern w:val="2"/>
                <w:lang w:eastAsia="hi-IN" w:bidi="hi-IN"/>
              </w:rPr>
              <w:t xml:space="preserve"> istog razdoblja prošle godine.  Obrađen</w:t>
            </w:r>
            <w:r w:rsidR="00561589">
              <w:rPr>
                <w:rFonts w:ascii="Calibri" w:eastAsia="SimSun" w:hAnsi="Calibri" w:cs="Calibri"/>
                <w:kern w:val="2"/>
                <w:lang w:eastAsia="hi-IN" w:bidi="hi-IN"/>
              </w:rPr>
              <w:t>o</w:t>
            </w:r>
            <w:r w:rsidRPr="00E64964">
              <w:rPr>
                <w:rFonts w:ascii="Calibri" w:eastAsia="SimSun" w:hAnsi="Calibri" w:cs="Calibri"/>
                <w:kern w:val="2"/>
                <w:lang w:eastAsia="hi-IN" w:bidi="hi-IN"/>
              </w:rPr>
              <w:t xml:space="preserve"> je</w:t>
            </w:r>
            <w:r w:rsidR="00561589">
              <w:rPr>
                <w:rFonts w:ascii="Calibri" w:eastAsia="SimSun" w:hAnsi="Calibri" w:cs="Calibri"/>
                <w:kern w:val="2"/>
                <w:lang w:eastAsia="hi-IN" w:bidi="hi-IN"/>
              </w:rPr>
              <w:t xml:space="preserve"> </w:t>
            </w:r>
            <w:r w:rsidR="00B9277F">
              <w:rPr>
                <w:rFonts w:ascii="Calibri" w:eastAsia="SimSun" w:hAnsi="Calibri" w:cs="Calibri"/>
                <w:kern w:val="2"/>
                <w:lang w:eastAsia="hi-IN" w:bidi="hi-IN"/>
              </w:rPr>
              <w:t>60</w:t>
            </w:r>
            <w:r w:rsidRPr="00E64964">
              <w:rPr>
                <w:rFonts w:ascii="Calibri" w:eastAsia="SimSun" w:hAnsi="Calibri" w:cs="Calibri"/>
                <w:kern w:val="2"/>
                <w:lang w:eastAsia="hi-IN" w:bidi="hi-IN"/>
              </w:rPr>
              <w:t xml:space="preserve"> procjemben</w:t>
            </w:r>
            <w:r w:rsidR="00B9277F">
              <w:rPr>
                <w:rFonts w:ascii="Calibri" w:eastAsia="SimSun" w:hAnsi="Calibri" w:cs="Calibri"/>
                <w:kern w:val="2"/>
                <w:lang w:eastAsia="hi-IN" w:bidi="hi-IN"/>
              </w:rPr>
              <w:t>ih</w:t>
            </w:r>
            <w:r w:rsidRPr="00E64964">
              <w:rPr>
                <w:rFonts w:ascii="Calibri" w:eastAsia="SimSun" w:hAnsi="Calibri" w:cs="Calibri"/>
                <w:kern w:val="2"/>
                <w:lang w:eastAsia="hi-IN" w:bidi="hi-IN"/>
              </w:rPr>
              <w:t xml:space="preserve"> elaborat</w:t>
            </w:r>
            <w:r w:rsidR="00561589">
              <w:rPr>
                <w:rFonts w:ascii="Calibri" w:eastAsia="SimSun" w:hAnsi="Calibri" w:cs="Calibri"/>
                <w:kern w:val="2"/>
                <w:lang w:eastAsia="hi-IN" w:bidi="hi-IN"/>
              </w:rPr>
              <w:t>a</w:t>
            </w:r>
            <w:r w:rsidR="00B9277F">
              <w:rPr>
                <w:rFonts w:ascii="Calibri" w:eastAsia="SimSun" w:hAnsi="Calibri" w:cs="Calibri"/>
                <w:kern w:val="2"/>
                <w:lang w:eastAsia="hi-IN" w:bidi="hi-IN"/>
              </w:rPr>
              <w:t xml:space="preserve"> (što je 25% više u odnosu na isto razdoblje prošle godine)</w:t>
            </w:r>
            <w:r w:rsidRPr="00E64964">
              <w:rPr>
                <w:rFonts w:ascii="Calibri" w:eastAsia="SimSun" w:hAnsi="Calibri" w:cs="Calibri"/>
                <w:kern w:val="2"/>
                <w:lang w:eastAsia="hi-IN" w:bidi="hi-IN"/>
              </w:rPr>
              <w:t xml:space="preserve">, te je održano </w:t>
            </w:r>
            <w:r w:rsidR="00B9277F">
              <w:rPr>
                <w:rFonts w:ascii="Calibri" w:eastAsia="SimSun" w:hAnsi="Calibri" w:cs="Calibri"/>
                <w:kern w:val="2"/>
                <w:lang w:eastAsia="hi-IN" w:bidi="hi-IN"/>
              </w:rPr>
              <w:t>14</w:t>
            </w:r>
            <w:r w:rsidRPr="00E64964">
              <w:rPr>
                <w:rFonts w:ascii="Calibri" w:eastAsia="SimSun" w:hAnsi="Calibri" w:cs="Calibri"/>
                <w:kern w:val="2"/>
                <w:lang w:eastAsia="hi-IN" w:bidi="hi-IN"/>
              </w:rPr>
              <w:t xml:space="preserve"> sjednica stručnog povjerenstva</w:t>
            </w:r>
            <w:r w:rsidR="00B9277F">
              <w:rPr>
                <w:rFonts w:ascii="Calibri" w:eastAsia="SimSun" w:hAnsi="Calibri" w:cs="Calibri"/>
                <w:kern w:val="2"/>
                <w:lang w:eastAsia="hi-IN" w:bidi="hi-IN"/>
              </w:rPr>
              <w:t xml:space="preserve"> (što je 45% više nego u istom razdoblju prošle godine)</w:t>
            </w:r>
            <w:r w:rsidRPr="00E64964">
              <w:rPr>
                <w:rFonts w:ascii="Calibri" w:eastAsia="SimSun" w:hAnsi="Calibri" w:cs="Calibri"/>
                <w:kern w:val="2"/>
                <w:lang w:eastAsia="hi-IN" w:bidi="hi-IN"/>
              </w:rPr>
              <w:t xml:space="preserve">. </w:t>
            </w:r>
          </w:p>
          <w:p w14:paraId="5A90BE48" w14:textId="77777777" w:rsidR="00E64964" w:rsidRPr="00E64964" w:rsidRDefault="00E64964" w:rsidP="00E64964">
            <w:pPr>
              <w:widowControl w:val="0"/>
              <w:suppressAutoHyphens/>
              <w:spacing w:after="0" w:line="240" w:lineRule="auto"/>
              <w:jc w:val="both"/>
              <w:rPr>
                <w:rFonts w:ascii="Calibri" w:eastAsia="SimSun" w:hAnsi="Calibri" w:cs="Calibri"/>
                <w:kern w:val="2"/>
                <w:lang w:eastAsia="hi-IN" w:bidi="hi-IN"/>
              </w:rPr>
            </w:pPr>
            <w:r w:rsidRPr="00E64964">
              <w:rPr>
                <w:rFonts w:ascii="Calibri" w:eastAsia="SimSun" w:hAnsi="Calibri" w:cs="Calibri"/>
                <w:kern w:val="2"/>
                <w:lang w:eastAsia="hi-IN" w:bidi="hi-IN"/>
              </w:rPr>
              <w:t>U proračunu su za ovaj program planirana sredstva za:</w:t>
            </w:r>
          </w:p>
          <w:p w14:paraId="7DE0B5D5" w14:textId="369D5F6C" w:rsidR="00E64964" w:rsidRPr="00E64964" w:rsidRDefault="00E64964" w:rsidP="00E64964">
            <w:pPr>
              <w:widowControl w:val="0"/>
              <w:numPr>
                <w:ilvl w:val="0"/>
                <w:numId w:val="2"/>
              </w:numPr>
              <w:suppressAutoHyphens/>
              <w:spacing w:after="0" w:line="240" w:lineRule="auto"/>
              <w:jc w:val="both"/>
              <w:rPr>
                <w:rFonts w:ascii="Calibri" w:eastAsia="SimSun" w:hAnsi="Calibri" w:cs="Calibri"/>
                <w:kern w:val="2"/>
                <w:lang w:eastAsia="hi-IN" w:bidi="hi-IN"/>
              </w:rPr>
            </w:pPr>
            <w:r w:rsidRPr="00E64964">
              <w:rPr>
                <w:rFonts w:ascii="Calibri" w:eastAsia="SimSun" w:hAnsi="Calibri" w:cs="Calibri"/>
                <w:kern w:val="2"/>
                <w:lang w:eastAsia="hi-IN" w:bidi="hi-IN"/>
              </w:rPr>
              <w:t xml:space="preserve"> izradu dokumenata prostornog uređenja                                                                      </w:t>
            </w:r>
            <w:r w:rsidR="002A04B8">
              <w:rPr>
                <w:rFonts w:ascii="Calibri" w:eastAsia="SimSun" w:hAnsi="Calibri" w:cs="Calibri"/>
                <w:kern w:val="2"/>
                <w:lang w:eastAsia="hi-IN" w:bidi="hi-IN"/>
              </w:rPr>
              <w:t>320.000,00</w:t>
            </w:r>
            <w:r w:rsidRPr="00E64964">
              <w:rPr>
                <w:rFonts w:ascii="Calibri" w:eastAsia="SimSun" w:hAnsi="Calibri" w:cs="Calibri"/>
                <w:kern w:val="2"/>
                <w:lang w:eastAsia="hi-IN" w:bidi="hi-IN"/>
              </w:rPr>
              <w:t xml:space="preserve">kn </w:t>
            </w:r>
          </w:p>
          <w:p w14:paraId="30AC98E0" w14:textId="23D433A8" w:rsidR="00E64964" w:rsidRPr="00E64964" w:rsidRDefault="00E64964" w:rsidP="00E64964">
            <w:pPr>
              <w:widowControl w:val="0"/>
              <w:numPr>
                <w:ilvl w:val="0"/>
                <w:numId w:val="2"/>
              </w:numPr>
              <w:suppressAutoHyphens/>
              <w:spacing w:after="0" w:line="240" w:lineRule="auto"/>
              <w:jc w:val="both"/>
              <w:rPr>
                <w:rFonts w:ascii="Calibri" w:eastAsia="SimSun" w:hAnsi="Calibri" w:cs="Calibri"/>
                <w:kern w:val="2"/>
                <w:lang w:eastAsia="hi-IN" w:bidi="hi-IN"/>
              </w:rPr>
            </w:pPr>
            <w:r w:rsidRPr="00E64964">
              <w:rPr>
                <w:rFonts w:ascii="Calibri" w:eastAsia="SimSun" w:hAnsi="Calibri" w:cs="Calibri"/>
                <w:kern w:val="2"/>
                <w:lang w:eastAsia="hi-IN" w:bidi="hi-IN"/>
              </w:rPr>
              <w:t xml:space="preserve"> izradu Plana približnih vrijednosti nekretnina za područje SMŽ                                </w:t>
            </w:r>
            <w:r w:rsidR="002A04B8">
              <w:rPr>
                <w:rFonts w:ascii="Calibri" w:eastAsia="SimSun" w:hAnsi="Calibri" w:cs="Calibri"/>
                <w:kern w:val="2"/>
                <w:lang w:eastAsia="hi-IN" w:bidi="hi-IN"/>
              </w:rPr>
              <w:t>10</w:t>
            </w:r>
            <w:r w:rsidRPr="00E64964">
              <w:rPr>
                <w:rFonts w:ascii="Calibri" w:eastAsia="SimSun" w:hAnsi="Calibri" w:cs="Calibri"/>
                <w:kern w:val="2"/>
                <w:lang w:eastAsia="hi-IN" w:bidi="hi-IN"/>
              </w:rPr>
              <w:t>0.000</w:t>
            </w:r>
            <w:r w:rsidR="002A04B8">
              <w:rPr>
                <w:rFonts w:ascii="Calibri" w:eastAsia="SimSun" w:hAnsi="Calibri" w:cs="Calibri"/>
                <w:kern w:val="2"/>
                <w:lang w:eastAsia="hi-IN" w:bidi="hi-IN"/>
              </w:rPr>
              <w:t>,00</w:t>
            </w:r>
            <w:r w:rsidRPr="00E64964">
              <w:rPr>
                <w:rFonts w:ascii="Calibri" w:eastAsia="SimSun" w:hAnsi="Calibri" w:cs="Calibri"/>
                <w:kern w:val="2"/>
                <w:lang w:eastAsia="hi-IN" w:bidi="hi-IN"/>
              </w:rPr>
              <w:t xml:space="preserve"> kn</w:t>
            </w:r>
          </w:p>
          <w:p w14:paraId="46661237" w14:textId="54D05845" w:rsidR="00240F4B" w:rsidRDefault="00E64964" w:rsidP="00240F4B">
            <w:pPr>
              <w:widowControl w:val="0"/>
              <w:suppressAutoHyphens/>
              <w:spacing w:after="0" w:line="240" w:lineRule="auto"/>
              <w:jc w:val="both"/>
              <w:rPr>
                <w:rFonts w:ascii="Calibri" w:eastAsia="SimSun" w:hAnsi="Calibri" w:cs="Calibri"/>
                <w:kern w:val="2"/>
                <w:lang w:eastAsia="hi-IN" w:bidi="hi-IN"/>
              </w:rPr>
            </w:pPr>
            <w:r w:rsidRPr="00E64964">
              <w:rPr>
                <w:rFonts w:ascii="Calibri" w:eastAsia="SimSun" w:hAnsi="Calibri" w:cs="Calibri"/>
                <w:kern w:val="2"/>
                <w:lang w:eastAsia="hi-IN" w:bidi="hi-IN"/>
              </w:rPr>
              <w:t xml:space="preserve">Sredstva iz ovog programa </w:t>
            </w:r>
            <w:r w:rsidR="00240F4B">
              <w:rPr>
                <w:rFonts w:ascii="Calibri" w:eastAsia="SimSun" w:hAnsi="Calibri" w:cs="Calibri"/>
                <w:kern w:val="2"/>
                <w:lang w:eastAsia="hi-IN" w:bidi="hi-IN"/>
              </w:rPr>
              <w:t>su utrošena u iznosu od 3.876,47 kuna, a razlozi su sljedeći:</w:t>
            </w:r>
          </w:p>
          <w:p w14:paraId="6AA6459E" w14:textId="03FC52E6" w:rsidR="00E64964" w:rsidRPr="00240F4B" w:rsidRDefault="00240F4B" w:rsidP="00240F4B">
            <w:pPr>
              <w:pStyle w:val="Odlomakpopisa"/>
              <w:widowControl w:val="0"/>
              <w:numPr>
                <w:ilvl w:val="0"/>
                <w:numId w:val="2"/>
              </w:numPr>
              <w:suppressAutoHyphens/>
              <w:spacing w:after="0" w:line="240" w:lineRule="auto"/>
              <w:jc w:val="both"/>
              <w:rPr>
                <w:rFonts w:ascii="Calibri" w:eastAsia="Times New Roman" w:hAnsi="Calibri" w:cs="Calibri"/>
                <w:color w:val="000000"/>
                <w:kern w:val="2"/>
                <w:lang w:eastAsia="hr-HR" w:bidi="hi-IN"/>
              </w:rPr>
            </w:pPr>
            <w:r>
              <w:rPr>
                <w:rFonts w:ascii="Calibri" w:eastAsia="Times New Roman" w:hAnsi="Calibri" w:cs="Calibri"/>
                <w:color w:val="000000"/>
                <w:kern w:val="2"/>
                <w:lang w:eastAsia="hr-HR" w:bidi="hi-IN"/>
              </w:rPr>
              <w:t>sredstva</w:t>
            </w:r>
            <w:r w:rsidR="00E64964" w:rsidRPr="00240F4B">
              <w:rPr>
                <w:rFonts w:ascii="Calibri" w:eastAsia="Times New Roman" w:hAnsi="Calibri" w:cs="Calibri"/>
                <w:color w:val="000000"/>
                <w:kern w:val="2"/>
                <w:lang w:eastAsia="hr-HR" w:bidi="hi-IN"/>
              </w:rPr>
              <w:t xml:space="preserve"> planirana za akte/dokumente prostornog uređenja nisu utrošena</w:t>
            </w:r>
            <w:r w:rsidR="00765173" w:rsidRPr="00240F4B">
              <w:rPr>
                <w:rFonts w:ascii="Calibri" w:eastAsia="Times New Roman" w:hAnsi="Calibri" w:cs="Calibri"/>
                <w:color w:val="000000"/>
                <w:kern w:val="2"/>
                <w:lang w:eastAsia="hr-HR" w:bidi="hi-IN"/>
              </w:rPr>
              <w:t>,</w:t>
            </w:r>
            <w:r w:rsidR="00E64964" w:rsidRPr="00240F4B">
              <w:rPr>
                <w:rFonts w:ascii="Calibri" w:eastAsia="Times New Roman" w:hAnsi="Calibri" w:cs="Calibri"/>
                <w:color w:val="000000"/>
                <w:kern w:val="2"/>
                <w:lang w:eastAsia="hr-HR" w:bidi="hi-IN"/>
              </w:rPr>
              <w:t xml:space="preserve"> jer</w:t>
            </w:r>
            <w:r w:rsidR="00765173" w:rsidRPr="00240F4B">
              <w:rPr>
                <w:rFonts w:ascii="Calibri" w:eastAsia="Times New Roman" w:hAnsi="Calibri" w:cs="Calibri"/>
                <w:color w:val="000000"/>
                <w:kern w:val="2"/>
                <w:lang w:eastAsia="hr-HR" w:bidi="hi-IN"/>
              </w:rPr>
              <w:t xml:space="preserve"> su namijenjena za </w:t>
            </w:r>
            <w:r w:rsidR="002A04B8" w:rsidRPr="00240F4B">
              <w:rPr>
                <w:rFonts w:ascii="Calibri" w:eastAsia="Times New Roman" w:hAnsi="Calibri" w:cs="Calibri"/>
                <w:color w:val="000000"/>
                <w:kern w:val="2"/>
                <w:lang w:eastAsia="hr-HR" w:bidi="hi-IN"/>
              </w:rPr>
              <w:t>izradu prostorno planske dokumentacije i</w:t>
            </w:r>
            <w:r w:rsidR="00765173" w:rsidRPr="00240F4B">
              <w:rPr>
                <w:rFonts w:ascii="Calibri" w:eastAsia="Times New Roman" w:hAnsi="Calibri" w:cs="Calibri"/>
                <w:color w:val="000000"/>
                <w:kern w:val="2"/>
                <w:lang w:eastAsia="hr-HR" w:bidi="hi-IN"/>
              </w:rPr>
              <w:t xml:space="preserve"> Strateške studije utjecaja na okoliš IV. Izmjena i dopuna prostornog plana SMŽ </w:t>
            </w:r>
            <w:r w:rsidR="00D50EB3" w:rsidRPr="00240F4B">
              <w:rPr>
                <w:rFonts w:ascii="Calibri" w:eastAsia="Times New Roman" w:hAnsi="Calibri" w:cs="Calibri"/>
                <w:color w:val="000000"/>
                <w:kern w:val="2"/>
                <w:lang w:eastAsia="hr-HR" w:bidi="hi-IN"/>
              </w:rPr>
              <w:t xml:space="preserve">za koju je provedena javna nabava, </w:t>
            </w:r>
            <w:r w:rsidR="002A04B8" w:rsidRPr="00240F4B">
              <w:rPr>
                <w:rFonts w:ascii="Calibri" w:eastAsia="Times New Roman" w:hAnsi="Calibri" w:cs="Calibri"/>
                <w:color w:val="000000"/>
                <w:kern w:val="2"/>
                <w:lang w:eastAsia="hr-HR" w:bidi="hi-IN"/>
              </w:rPr>
              <w:t>te je izrada studije u tijeku</w:t>
            </w:r>
            <w:r w:rsidR="00D50EB3" w:rsidRPr="00240F4B">
              <w:rPr>
                <w:rFonts w:ascii="Calibri" w:eastAsia="Times New Roman" w:hAnsi="Calibri" w:cs="Calibri"/>
                <w:color w:val="000000"/>
                <w:kern w:val="2"/>
                <w:lang w:eastAsia="hr-HR" w:bidi="hi-IN"/>
              </w:rPr>
              <w:t>.</w:t>
            </w:r>
            <w:r w:rsidR="00211E2F" w:rsidRPr="00240F4B">
              <w:rPr>
                <w:rFonts w:ascii="Calibri" w:eastAsia="Times New Roman" w:hAnsi="Calibri" w:cs="Calibri"/>
                <w:color w:val="000000"/>
                <w:kern w:val="2"/>
                <w:lang w:eastAsia="hr-HR" w:bidi="hi-IN"/>
              </w:rPr>
              <w:t xml:space="preserve"> Utrošen je iznos od 3.876,47 kuna za troškove rada Povjerenstva za stratešku procjenu koje je održalo dvije sjednice u ožujku 2022. godine.</w:t>
            </w:r>
            <w:r>
              <w:rPr>
                <w:rFonts w:ascii="Calibri" w:eastAsia="Times New Roman" w:hAnsi="Calibri" w:cs="Calibri"/>
                <w:color w:val="000000"/>
                <w:kern w:val="2"/>
                <w:lang w:eastAsia="hr-HR" w:bidi="hi-IN"/>
              </w:rPr>
              <w:t xml:space="preserve"> Ostala sredstva se planiraju realizirati do kraja godine.</w:t>
            </w:r>
          </w:p>
          <w:p w14:paraId="7D2C6A8C" w14:textId="77777777" w:rsidR="00E64964" w:rsidRPr="00E64964" w:rsidRDefault="00E64964" w:rsidP="00E64964">
            <w:pPr>
              <w:widowControl w:val="0"/>
              <w:suppressAutoHyphens/>
              <w:spacing w:after="0" w:line="240" w:lineRule="auto"/>
              <w:jc w:val="both"/>
              <w:rPr>
                <w:rFonts w:ascii="Calibri" w:eastAsia="Times New Roman" w:hAnsi="Calibri" w:cs="Calibri"/>
                <w:color w:val="000000"/>
                <w:kern w:val="2"/>
                <w:lang w:eastAsia="hr-HR" w:bidi="hi-IN"/>
              </w:rPr>
            </w:pPr>
            <w:r w:rsidRPr="00E64964">
              <w:rPr>
                <w:rFonts w:ascii="Calibri" w:eastAsia="Times New Roman" w:hAnsi="Calibri" w:cs="Calibri"/>
                <w:color w:val="000000"/>
                <w:kern w:val="2"/>
                <w:lang w:eastAsia="hr-HR" w:bidi="hi-IN"/>
              </w:rPr>
              <w:t>Učinkovita realizacija ovog programa se prati kroz praćenje ostvarenja zadanih ciljeva, pa tako:</w:t>
            </w:r>
          </w:p>
          <w:p w14:paraId="2BC1AA01" w14:textId="2F7ED8F9" w:rsidR="00E64964" w:rsidRPr="00240F4B" w:rsidRDefault="00E64964" w:rsidP="004F3425">
            <w:pPr>
              <w:widowControl w:val="0"/>
              <w:numPr>
                <w:ilvl w:val="0"/>
                <w:numId w:val="5"/>
              </w:numPr>
              <w:suppressAutoHyphens/>
              <w:spacing w:after="0" w:line="240" w:lineRule="auto"/>
              <w:ind w:left="812"/>
              <w:jc w:val="both"/>
              <w:rPr>
                <w:rFonts w:ascii="Calibri" w:eastAsia="SimSun" w:hAnsi="Calibri" w:cs="Calibri"/>
                <w:kern w:val="2"/>
                <w:lang w:eastAsia="hi-IN" w:bidi="hi-IN"/>
              </w:rPr>
            </w:pPr>
            <w:r w:rsidRPr="00240F4B">
              <w:rPr>
                <w:rFonts w:ascii="Calibri" w:eastAsia="SimSun" w:hAnsi="Calibri" w:cs="Calibri"/>
                <w:kern w:val="2"/>
                <w:lang w:eastAsia="hi-IN" w:bidi="hi-IN"/>
              </w:rPr>
              <w:t xml:space="preserve">Povećana je razina kvalitete pruženih usluga – planirano je izdavanje najmanje 65 građevinskih dozvola, a u prvoj polovini godine su </w:t>
            </w:r>
            <w:r w:rsidRPr="00240F4B">
              <w:rPr>
                <w:rFonts w:ascii="Calibri" w:eastAsia="SimSun" w:hAnsi="Calibri" w:cs="Calibri"/>
                <w:b/>
                <w:bCs/>
                <w:kern w:val="2"/>
                <w:lang w:eastAsia="hi-IN" w:bidi="hi-IN"/>
              </w:rPr>
              <w:t>izdan</w:t>
            </w:r>
            <w:r w:rsidR="00211E2F" w:rsidRPr="00240F4B">
              <w:rPr>
                <w:rFonts w:ascii="Calibri" w:eastAsia="SimSun" w:hAnsi="Calibri" w:cs="Calibri"/>
                <w:b/>
                <w:bCs/>
                <w:kern w:val="2"/>
                <w:lang w:eastAsia="hi-IN" w:bidi="hi-IN"/>
              </w:rPr>
              <w:t>o je 107</w:t>
            </w:r>
            <w:r w:rsidRPr="00240F4B">
              <w:rPr>
                <w:rFonts w:ascii="Calibri" w:eastAsia="SimSun" w:hAnsi="Calibri" w:cs="Calibri"/>
                <w:kern w:val="2"/>
                <w:lang w:eastAsia="hi-IN" w:bidi="hi-IN"/>
              </w:rPr>
              <w:t xml:space="preserve">  građevinsk</w:t>
            </w:r>
            <w:r w:rsidR="00211E2F" w:rsidRPr="00240F4B">
              <w:rPr>
                <w:rFonts w:ascii="Calibri" w:eastAsia="SimSun" w:hAnsi="Calibri" w:cs="Calibri"/>
                <w:kern w:val="2"/>
                <w:lang w:eastAsia="hi-IN" w:bidi="hi-IN"/>
              </w:rPr>
              <w:t>ih</w:t>
            </w:r>
            <w:r w:rsidRPr="00240F4B">
              <w:rPr>
                <w:rFonts w:ascii="Calibri" w:eastAsia="SimSun" w:hAnsi="Calibri" w:cs="Calibri"/>
                <w:kern w:val="2"/>
                <w:lang w:eastAsia="hi-IN" w:bidi="hi-IN"/>
              </w:rPr>
              <w:t xml:space="preserve">  dozvol</w:t>
            </w:r>
            <w:r w:rsidR="00211E2F" w:rsidRPr="00240F4B">
              <w:rPr>
                <w:rFonts w:ascii="Calibri" w:eastAsia="SimSun" w:hAnsi="Calibri" w:cs="Calibri"/>
                <w:kern w:val="2"/>
                <w:lang w:eastAsia="hi-IN" w:bidi="hi-IN"/>
              </w:rPr>
              <w:t>a</w:t>
            </w:r>
            <w:r w:rsidR="00240F4B" w:rsidRPr="00240F4B">
              <w:rPr>
                <w:rFonts w:ascii="Calibri" w:eastAsia="SimSun" w:hAnsi="Calibri" w:cs="Calibri"/>
                <w:kern w:val="2"/>
                <w:lang w:eastAsia="hi-IN" w:bidi="hi-IN"/>
              </w:rPr>
              <w:t>;</w:t>
            </w:r>
            <w:r w:rsidR="00240F4B">
              <w:rPr>
                <w:rFonts w:ascii="Calibri" w:eastAsia="SimSun" w:hAnsi="Calibri" w:cs="Calibri"/>
                <w:kern w:val="2"/>
                <w:lang w:eastAsia="hi-IN" w:bidi="hi-IN"/>
              </w:rPr>
              <w:t xml:space="preserve"> u</w:t>
            </w:r>
            <w:r w:rsidRPr="00240F4B">
              <w:rPr>
                <w:rFonts w:ascii="Calibri" w:eastAsia="SimSun" w:hAnsi="Calibri" w:cs="Calibri"/>
                <w:kern w:val="2"/>
                <w:lang w:eastAsia="hi-IN" w:bidi="hi-IN"/>
              </w:rPr>
              <w:t>kup</w:t>
            </w:r>
            <w:r w:rsidR="00240F4B">
              <w:rPr>
                <w:rFonts w:ascii="Calibri" w:eastAsia="SimSun" w:hAnsi="Calibri" w:cs="Calibri"/>
                <w:kern w:val="2"/>
                <w:lang w:eastAsia="hi-IN" w:bidi="hi-IN"/>
              </w:rPr>
              <w:t>a</w:t>
            </w:r>
            <w:r w:rsidRPr="00240F4B">
              <w:rPr>
                <w:rFonts w:ascii="Calibri" w:eastAsia="SimSun" w:hAnsi="Calibri" w:cs="Calibri"/>
                <w:kern w:val="2"/>
                <w:lang w:eastAsia="hi-IN" w:bidi="hi-IN"/>
              </w:rPr>
              <w:t xml:space="preserve">n broj izdanih akata prostornog uređenja i gradnje u prvoj polovici </w:t>
            </w:r>
            <w:r w:rsidR="00240F4B">
              <w:rPr>
                <w:rFonts w:ascii="Calibri" w:eastAsia="SimSun" w:hAnsi="Calibri" w:cs="Calibri"/>
                <w:kern w:val="2"/>
                <w:lang w:eastAsia="hi-IN" w:bidi="hi-IN"/>
              </w:rPr>
              <w:t>2022.</w:t>
            </w:r>
            <w:r w:rsidRPr="00240F4B">
              <w:rPr>
                <w:rFonts w:ascii="Calibri" w:eastAsia="SimSun" w:hAnsi="Calibri" w:cs="Calibri"/>
                <w:kern w:val="2"/>
                <w:lang w:eastAsia="hi-IN" w:bidi="hi-IN"/>
              </w:rPr>
              <w:t xml:space="preserve"> je bio</w:t>
            </w:r>
            <w:r w:rsidRPr="00240F4B">
              <w:rPr>
                <w:rFonts w:ascii="Calibri" w:eastAsia="SimSun" w:hAnsi="Calibri" w:cs="Calibri"/>
                <w:b/>
                <w:bCs/>
                <w:kern w:val="2"/>
                <w:lang w:eastAsia="hi-IN" w:bidi="hi-IN"/>
              </w:rPr>
              <w:t xml:space="preserve"> 14</w:t>
            </w:r>
            <w:r w:rsidR="00211E2F" w:rsidRPr="00240F4B">
              <w:rPr>
                <w:rFonts w:ascii="Calibri" w:eastAsia="SimSun" w:hAnsi="Calibri" w:cs="Calibri"/>
                <w:b/>
                <w:bCs/>
                <w:kern w:val="2"/>
                <w:lang w:eastAsia="hi-IN" w:bidi="hi-IN"/>
              </w:rPr>
              <w:t>82</w:t>
            </w:r>
            <w:r w:rsidRPr="00240F4B">
              <w:rPr>
                <w:rFonts w:ascii="Calibri" w:eastAsia="SimSun" w:hAnsi="Calibri" w:cs="Calibri"/>
                <w:b/>
                <w:bCs/>
                <w:kern w:val="2"/>
                <w:lang w:eastAsia="hi-IN" w:bidi="hi-IN"/>
              </w:rPr>
              <w:t>,</w:t>
            </w:r>
            <w:r w:rsidRPr="00240F4B">
              <w:rPr>
                <w:rFonts w:ascii="Calibri" w:eastAsia="SimSun" w:hAnsi="Calibri" w:cs="Calibri"/>
                <w:kern w:val="2"/>
                <w:lang w:eastAsia="hi-IN" w:bidi="hi-IN"/>
              </w:rPr>
              <w:t xml:space="preserve"> </w:t>
            </w:r>
            <w:r w:rsidR="00211E2F" w:rsidRPr="00240F4B">
              <w:rPr>
                <w:rFonts w:ascii="Calibri" w:eastAsia="SimSun" w:hAnsi="Calibri" w:cs="Calibri"/>
                <w:kern w:val="2"/>
                <w:lang w:eastAsia="hi-IN" w:bidi="hi-IN"/>
              </w:rPr>
              <w:t xml:space="preserve">(planirano je </w:t>
            </w:r>
            <w:r w:rsidRPr="00240F4B">
              <w:rPr>
                <w:rFonts w:ascii="Calibri" w:eastAsia="SimSun" w:hAnsi="Calibri" w:cs="Calibri"/>
                <w:kern w:val="2"/>
                <w:lang w:eastAsia="hi-IN" w:bidi="hi-IN"/>
              </w:rPr>
              <w:t>200 mjesečno</w:t>
            </w:r>
            <w:r w:rsidR="00211E2F" w:rsidRPr="00240F4B">
              <w:rPr>
                <w:rFonts w:ascii="Calibri" w:eastAsia="SimSun" w:hAnsi="Calibri" w:cs="Calibri"/>
                <w:kern w:val="2"/>
                <w:lang w:eastAsia="hi-IN" w:bidi="hi-IN"/>
              </w:rPr>
              <w:t xml:space="preserve"> tj. 1200 na polugodišnjoj razini).</w:t>
            </w:r>
            <w:r w:rsidRPr="00240F4B">
              <w:rPr>
                <w:rFonts w:ascii="Calibri" w:eastAsia="SimSun" w:hAnsi="Calibri" w:cs="Calibri"/>
                <w:kern w:val="2"/>
                <w:lang w:eastAsia="hi-IN" w:bidi="hi-IN"/>
              </w:rPr>
              <w:t xml:space="preserve"> </w:t>
            </w:r>
          </w:p>
          <w:p w14:paraId="3FA3B10B" w14:textId="4F4C1FF7" w:rsidR="00E64964" w:rsidRPr="00E64964" w:rsidRDefault="00E64964" w:rsidP="00E64964">
            <w:pPr>
              <w:widowControl w:val="0"/>
              <w:numPr>
                <w:ilvl w:val="0"/>
                <w:numId w:val="5"/>
              </w:numPr>
              <w:suppressAutoHyphens/>
              <w:spacing w:after="0" w:line="240" w:lineRule="auto"/>
              <w:jc w:val="both"/>
              <w:rPr>
                <w:rFonts w:ascii="Calibri" w:eastAsia="SimSun" w:hAnsi="Calibri" w:cs="Calibri"/>
                <w:kern w:val="2"/>
                <w:lang w:eastAsia="hi-IN" w:bidi="hi-IN"/>
              </w:rPr>
            </w:pPr>
            <w:r w:rsidRPr="00E64964">
              <w:rPr>
                <w:rFonts w:ascii="Calibri" w:eastAsia="SimSun" w:hAnsi="Calibri" w:cs="Calibri"/>
                <w:kern w:val="2"/>
                <w:lang w:eastAsia="hi-IN" w:bidi="hi-IN"/>
              </w:rPr>
              <w:t xml:space="preserve">Brža dostupnost podataka i kvalitetnija opremljenost je ostvarena </w:t>
            </w:r>
            <w:r w:rsidR="00240F4B">
              <w:rPr>
                <w:rFonts w:ascii="Calibri" w:eastAsia="SimSun" w:hAnsi="Calibri" w:cs="Calibri"/>
                <w:kern w:val="2"/>
                <w:lang w:eastAsia="hi-IN" w:bidi="hi-IN"/>
              </w:rPr>
              <w:t xml:space="preserve">jer </w:t>
            </w:r>
            <w:r w:rsidRPr="00E64964">
              <w:rPr>
                <w:rFonts w:ascii="Calibri" w:eastAsia="SimSun" w:hAnsi="Calibri" w:cs="Calibri"/>
                <w:kern w:val="2"/>
                <w:lang w:eastAsia="hi-IN" w:bidi="hi-IN"/>
              </w:rPr>
              <w:t xml:space="preserve">stranke mogu </w:t>
            </w:r>
            <w:r w:rsidR="00240F4B">
              <w:rPr>
                <w:rFonts w:ascii="Calibri" w:eastAsia="SimSun" w:hAnsi="Calibri" w:cs="Calibri"/>
                <w:kern w:val="2"/>
                <w:lang w:eastAsia="hi-IN" w:bidi="hi-IN"/>
              </w:rPr>
              <w:t>put</w:t>
            </w:r>
            <w:r w:rsidRPr="00E64964">
              <w:rPr>
                <w:rFonts w:ascii="Calibri" w:eastAsia="SimSun" w:hAnsi="Calibri" w:cs="Calibri"/>
                <w:kern w:val="2"/>
                <w:lang w:eastAsia="hi-IN" w:bidi="hi-IN"/>
              </w:rPr>
              <w:t>em sustava e-Građanina</w:t>
            </w:r>
            <w:r w:rsidR="00240F4B">
              <w:rPr>
                <w:rFonts w:ascii="Calibri" w:eastAsia="SimSun" w:hAnsi="Calibri" w:cs="Calibri"/>
                <w:kern w:val="2"/>
                <w:lang w:eastAsia="hi-IN" w:bidi="hi-IN"/>
              </w:rPr>
              <w:t xml:space="preserve"> podnositi zahtjeve i pratiti tijek rješavanja istih</w:t>
            </w:r>
            <w:r w:rsidRPr="00E64964">
              <w:rPr>
                <w:rFonts w:ascii="Calibri" w:eastAsia="SimSun" w:hAnsi="Calibri" w:cs="Calibri"/>
                <w:kern w:val="2"/>
                <w:lang w:eastAsia="hi-IN" w:bidi="hi-IN"/>
              </w:rPr>
              <w:t>.</w:t>
            </w:r>
          </w:p>
          <w:p w14:paraId="7797B2BD" w14:textId="3549587C" w:rsidR="00E64964" w:rsidRPr="00240F4B" w:rsidRDefault="00E64964" w:rsidP="00212EFC">
            <w:pPr>
              <w:widowControl w:val="0"/>
              <w:numPr>
                <w:ilvl w:val="0"/>
                <w:numId w:val="5"/>
              </w:numPr>
              <w:suppressAutoHyphens/>
              <w:spacing w:after="0" w:line="240" w:lineRule="auto"/>
              <w:jc w:val="both"/>
              <w:rPr>
                <w:rFonts w:ascii="Calibri" w:eastAsia="SimSun" w:hAnsi="Calibri" w:cs="Calibri"/>
                <w:kern w:val="2"/>
                <w:sz w:val="8"/>
                <w:szCs w:val="8"/>
                <w:lang w:eastAsia="hi-IN" w:bidi="hi-IN"/>
              </w:rPr>
            </w:pPr>
            <w:r w:rsidRPr="00240F4B">
              <w:rPr>
                <w:rFonts w:ascii="Calibri" w:eastAsia="SimSun" w:hAnsi="Calibri" w:cs="Calibri"/>
                <w:kern w:val="2"/>
                <w:lang w:eastAsia="hi-IN" w:bidi="hi-IN"/>
              </w:rPr>
              <w:t>Izvješće o stanju nekretnina na području SMŽ u 20</w:t>
            </w:r>
            <w:r w:rsidR="00765173" w:rsidRPr="00240F4B">
              <w:rPr>
                <w:rFonts w:ascii="Calibri" w:eastAsia="SimSun" w:hAnsi="Calibri" w:cs="Calibri"/>
                <w:kern w:val="2"/>
                <w:lang w:eastAsia="hi-IN" w:bidi="hi-IN"/>
              </w:rPr>
              <w:t>2</w:t>
            </w:r>
            <w:r w:rsidR="00211E2F" w:rsidRPr="00240F4B">
              <w:rPr>
                <w:rFonts w:ascii="Calibri" w:eastAsia="SimSun" w:hAnsi="Calibri" w:cs="Calibri"/>
                <w:kern w:val="2"/>
                <w:lang w:eastAsia="hi-IN" w:bidi="hi-IN"/>
              </w:rPr>
              <w:t>1</w:t>
            </w:r>
            <w:r w:rsidRPr="00240F4B">
              <w:rPr>
                <w:rFonts w:ascii="Calibri" w:eastAsia="SimSun" w:hAnsi="Calibri" w:cs="Calibri"/>
                <w:kern w:val="2"/>
                <w:lang w:eastAsia="hi-IN" w:bidi="hi-IN"/>
              </w:rPr>
              <w:t>. je doneseno i objavljeno na internetskim stranicama SMŽ.</w:t>
            </w:r>
          </w:p>
          <w:p w14:paraId="25E44704" w14:textId="77777777" w:rsidR="00240F4B" w:rsidRDefault="00E64964" w:rsidP="00240F4B">
            <w:pPr>
              <w:widowControl w:val="0"/>
              <w:suppressAutoHyphens/>
              <w:spacing w:after="0" w:line="240" w:lineRule="auto"/>
              <w:jc w:val="both"/>
              <w:rPr>
                <w:rFonts w:ascii="Calibri" w:eastAsia="SimSun" w:hAnsi="Calibri" w:cs="Calibri"/>
                <w:kern w:val="2"/>
                <w:lang w:eastAsia="hi-IN" w:bidi="hi-IN"/>
              </w:rPr>
            </w:pPr>
            <w:r w:rsidRPr="00E64964">
              <w:rPr>
                <w:rFonts w:ascii="Calibri" w:eastAsia="SimSun" w:hAnsi="Calibri" w:cs="Calibri"/>
                <w:kern w:val="2"/>
                <w:lang w:eastAsia="hi-IN" w:bidi="hi-IN"/>
              </w:rPr>
              <w:t>Na temelju navedenih rezultata može se smatrati da se program uspješno provodi</w:t>
            </w:r>
            <w:r w:rsidR="00240F4B">
              <w:rPr>
                <w:rFonts w:ascii="Calibri" w:eastAsia="SimSun" w:hAnsi="Calibri" w:cs="Calibri"/>
                <w:kern w:val="2"/>
                <w:lang w:eastAsia="hi-IN" w:bidi="hi-IN"/>
              </w:rPr>
              <w:t>.</w:t>
            </w:r>
          </w:p>
          <w:p w14:paraId="1A55C5D9" w14:textId="1909BEAA" w:rsidR="00E64964" w:rsidRPr="00E64964" w:rsidRDefault="00E64964" w:rsidP="00240F4B">
            <w:pPr>
              <w:widowControl w:val="0"/>
              <w:suppressAutoHyphens/>
              <w:spacing w:after="0" w:line="240" w:lineRule="auto"/>
              <w:jc w:val="both"/>
              <w:rPr>
                <w:rFonts w:ascii="Calibri" w:eastAsia="SimSun" w:hAnsi="Calibri" w:cs="Calibri"/>
                <w:kern w:val="2"/>
                <w:lang w:eastAsia="hi-IN" w:bidi="hi-IN"/>
              </w:rPr>
            </w:pPr>
            <w:r w:rsidRPr="00E64964">
              <w:rPr>
                <w:rFonts w:ascii="Calibri" w:eastAsia="SimSun" w:hAnsi="Calibri" w:cs="Calibri"/>
                <w:kern w:val="2"/>
                <w:lang w:eastAsia="hi-IN" w:bidi="hi-IN"/>
              </w:rPr>
              <w:t>Planirana sredstva za provedbu ovog programa nisu utrošena jer nisu završeni dokumenti za ko</w:t>
            </w:r>
            <w:r w:rsidR="000E4A5A">
              <w:rPr>
                <w:rFonts w:ascii="Calibri" w:eastAsia="SimSun" w:hAnsi="Calibri" w:cs="Calibri"/>
                <w:kern w:val="2"/>
                <w:lang w:eastAsia="hi-IN" w:bidi="hi-IN"/>
              </w:rPr>
              <w:t>je su planirana sredstva, te nije niti izvršeno plaćanje istih.</w:t>
            </w:r>
          </w:p>
        </w:tc>
      </w:tr>
    </w:tbl>
    <w:p w14:paraId="2B81EEAA" w14:textId="77777777" w:rsidR="00E64964" w:rsidRPr="00E64964" w:rsidRDefault="00E64964" w:rsidP="00E64964">
      <w:pPr>
        <w:widowControl w:val="0"/>
        <w:suppressAutoHyphens/>
        <w:spacing w:after="0" w:line="240" w:lineRule="auto"/>
        <w:rPr>
          <w:rFonts w:ascii="Calibri" w:eastAsia="SimSun" w:hAnsi="Calibri" w:cs="Calibri"/>
          <w:vanish/>
          <w:kern w:val="2"/>
          <w:sz w:val="24"/>
          <w:szCs w:val="24"/>
          <w:lang w:eastAsia="hi-IN" w:bidi="hi-IN"/>
        </w:rPr>
      </w:pPr>
    </w:p>
    <w:p w14:paraId="2898265E" w14:textId="77322A7A" w:rsidR="00E64964" w:rsidRPr="00E64964" w:rsidRDefault="00E64964" w:rsidP="00E64964">
      <w:pPr>
        <w:tabs>
          <w:tab w:val="left" w:pos="3053"/>
        </w:tabs>
        <w:spacing w:after="0" w:line="240" w:lineRule="auto"/>
        <w:rPr>
          <w:rFonts w:ascii="Calibri" w:eastAsia="Times New Roman" w:hAnsi="Calibri" w:cs="Calibri"/>
        </w:rPr>
      </w:pPr>
      <w:r w:rsidRPr="00E64964">
        <w:rPr>
          <w:rFonts w:ascii="Calibri" w:eastAsia="Times New Roman" w:hAnsi="Calibri" w:cs="Calibri"/>
        </w:rPr>
        <w:tab/>
      </w:r>
      <w:r w:rsidRPr="00E64964">
        <w:rPr>
          <w:rFonts w:ascii="Calibri" w:eastAsia="Times New Roman" w:hAnsi="Calibri" w:cs="Calibri"/>
        </w:rPr>
        <w:tab/>
      </w:r>
      <w:r w:rsidRPr="00E64964">
        <w:rPr>
          <w:rFonts w:ascii="Calibri" w:eastAsia="Times New Roman" w:hAnsi="Calibri" w:cs="Calibri"/>
        </w:rPr>
        <w:tab/>
      </w:r>
      <w:r w:rsidRPr="00E64964">
        <w:rPr>
          <w:rFonts w:ascii="Calibri" w:eastAsia="Times New Roman" w:hAnsi="Calibri" w:cs="Calibri"/>
        </w:rPr>
        <w:tab/>
        <w:t>Pr</w:t>
      </w:r>
      <w:r w:rsidR="00211E2F">
        <w:rPr>
          <w:rFonts w:ascii="Calibri" w:eastAsia="Times New Roman" w:hAnsi="Calibri" w:cs="Calibri"/>
        </w:rPr>
        <w:t>ivremena pr</w:t>
      </w:r>
      <w:r w:rsidRPr="00E64964">
        <w:rPr>
          <w:rFonts w:ascii="Calibri" w:eastAsia="Times New Roman" w:hAnsi="Calibri" w:cs="Calibri"/>
        </w:rPr>
        <w:t>očelnica</w:t>
      </w:r>
    </w:p>
    <w:p w14:paraId="5378A7B1" w14:textId="41853454" w:rsidR="0069036B" w:rsidRPr="00240F4B" w:rsidRDefault="00E64964" w:rsidP="00240F4B">
      <w:pPr>
        <w:tabs>
          <w:tab w:val="left" w:pos="3053"/>
        </w:tabs>
        <w:spacing w:after="0" w:line="240" w:lineRule="auto"/>
        <w:rPr>
          <w:rFonts w:ascii="Calibri" w:eastAsia="Times New Roman" w:hAnsi="Calibri" w:cs="Calibri"/>
        </w:rPr>
      </w:pPr>
      <w:r w:rsidRPr="00E64964">
        <w:rPr>
          <w:rFonts w:ascii="Calibri" w:eastAsia="Times New Roman" w:hAnsi="Calibri" w:cs="Calibri"/>
        </w:rPr>
        <w:tab/>
      </w:r>
      <w:r w:rsidRPr="00E64964">
        <w:rPr>
          <w:rFonts w:ascii="Calibri" w:eastAsia="Times New Roman" w:hAnsi="Calibri" w:cs="Calibri"/>
        </w:rPr>
        <w:tab/>
      </w:r>
      <w:r w:rsidRPr="00E64964">
        <w:rPr>
          <w:rFonts w:ascii="Calibri" w:eastAsia="Times New Roman" w:hAnsi="Calibri" w:cs="Calibri"/>
        </w:rPr>
        <w:tab/>
      </w:r>
      <w:r w:rsidRPr="00E64964">
        <w:rPr>
          <w:rFonts w:ascii="Calibri" w:eastAsia="Times New Roman" w:hAnsi="Calibri" w:cs="Calibri"/>
        </w:rPr>
        <w:tab/>
        <w:t xml:space="preserve">Blanka Bobetko Majstorović, dipl. ing. </w:t>
      </w:r>
      <w:proofErr w:type="spellStart"/>
      <w:r w:rsidRPr="00E64964">
        <w:rPr>
          <w:rFonts w:ascii="Calibri" w:eastAsia="Times New Roman" w:hAnsi="Calibri" w:cs="Calibri"/>
        </w:rPr>
        <w:t>biol</w:t>
      </w:r>
      <w:proofErr w:type="spellEnd"/>
      <w:r w:rsidRPr="00E64964">
        <w:rPr>
          <w:rFonts w:ascii="Calibri" w:eastAsia="Times New Roman" w:hAnsi="Calibri" w:cs="Calibri"/>
        </w:rPr>
        <w:t>.</w:t>
      </w:r>
    </w:p>
    <w:sectPr w:rsidR="0069036B" w:rsidRPr="00240F4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Lucida Sans Unicode">
    <w:panose1 w:val="020B0602030504020204"/>
    <w:charset w:val="EE"/>
    <w:family w:val="swiss"/>
    <w:pitch w:val="variable"/>
    <w:sig w:usb0="80000AFF" w:usb1="0000396B" w:usb2="00000000" w:usb3="00000000" w:csb0="000000BF" w:csb1="00000000"/>
  </w:font>
  <w:font w:name="Sitka Subheading">
    <w:panose1 w:val="02000505000000020004"/>
    <w:charset w:val="EE"/>
    <w:family w:val="auto"/>
    <w:pitch w:val="variable"/>
    <w:sig w:usb0="A00002EF" w:usb1="4000204B" w:usb2="00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C64100"/>
    <w:multiLevelType w:val="hybridMultilevel"/>
    <w:tmpl w:val="E16CA07C"/>
    <w:lvl w:ilvl="0" w:tplc="79B0DDEA">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1" w15:restartNumberingAfterBreak="0">
    <w:nsid w:val="09B47902"/>
    <w:multiLevelType w:val="hybridMultilevel"/>
    <w:tmpl w:val="8D382F36"/>
    <w:lvl w:ilvl="0" w:tplc="F2CACCF6">
      <w:numFmt w:val="bullet"/>
      <w:lvlText w:val="-"/>
      <w:lvlJc w:val="left"/>
      <w:pPr>
        <w:ind w:left="1004" w:hanging="360"/>
      </w:pPr>
      <w:rPr>
        <w:rFonts w:ascii="Calibri" w:eastAsia="Times New Roman" w:hAnsi="Calibri" w:cs="Calibri" w:hint="default"/>
        <w:b/>
      </w:rPr>
    </w:lvl>
    <w:lvl w:ilvl="1" w:tplc="041A0003">
      <w:start w:val="1"/>
      <w:numFmt w:val="bullet"/>
      <w:lvlText w:val="o"/>
      <w:lvlJc w:val="left"/>
      <w:pPr>
        <w:ind w:left="1724" w:hanging="360"/>
      </w:pPr>
      <w:rPr>
        <w:rFonts w:ascii="Courier New" w:hAnsi="Courier New" w:cs="Courier New" w:hint="default"/>
      </w:rPr>
    </w:lvl>
    <w:lvl w:ilvl="2" w:tplc="041A0005">
      <w:start w:val="1"/>
      <w:numFmt w:val="bullet"/>
      <w:lvlText w:val=""/>
      <w:lvlJc w:val="left"/>
      <w:pPr>
        <w:ind w:left="2444" w:hanging="360"/>
      </w:pPr>
      <w:rPr>
        <w:rFonts w:ascii="Wingdings" w:hAnsi="Wingdings" w:hint="default"/>
      </w:rPr>
    </w:lvl>
    <w:lvl w:ilvl="3" w:tplc="041A0001">
      <w:start w:val="1"/>
      <w:numFmt w:val="bullet"/>
      <w:lvlText w:val=""/>
      <w:lvlJc w:val="left"/>
      <w:pPr>
        <w:ind w:left="3164" w:hanging="360"/>
      </w:pPr>
      <w:rPr>
        <w:rFonts w:ascii="Symbol" w:hAnsi="Symbol" w:hint="default"/>
      </w:rPr>
    </w:lvl>
    <w:lvl w:ilvl="4" w:tplc="041A0003">
      <w:start w:val="1"/>
      <w:numFmt w:val="bullet"/>
      <w:lvlText w:val="o"/>
      <w:lvlJc w:val="left"/>
      <w:pPr>
        <w:ind w:left="3884" w:hanging="360"/>
      </w:pPr>
      <w:rPr>
        <w:rFonts w:ascii="Courier New" w:hAnsi="Courier New" w:cs="Courier New" w:hint="default"/>
      </w:rPr>
    </w:lvl>
    <w:lvl w:ilvl="5" w:tplc="041A0005">
      <w:start w:val="1"/>
      <w:numFmt w:val="bullet"/>
      <w:lvlText w:val=""/>
      <w:lvlJc w:val="left"/>
      <w:pPr>
        <w:ind w:left="4604" w:hanging="360"/>
      </w:pPr>
      <w:rPr>
        <w:rFonts w:ascii="Wingdings" w:hAnsi="Wingdings" w:hint="default"/>
      </w:rPr>
    </w:lvl>
    <w:lvl w:ilvl="6" w:tplc="041A0001">
      <w:start w:val="1"/>
      <w:numFmt w:val="bullet"/>
      <w:lvlText w:val=""/>
      <w:lvlJc w:val="left"/>
      <w:pPr>
        <w:ind w:left="5324" w:hanging="360"/>
      </w:pPr>
      <w:rPr>
        <w:rFonts w:ascii="Symbol" w:hAnsi="Symbol" w:hint="default"/>
      </w:rPr>
    </w:lvl>
    <w:lvl w:ilvl="7" w:tplc="041A0003">
      <w:start w:val="1"/>
      <w:numFmt w:val="bullet"/>
      <w:lvlText w:val="o"/>
      <w:lvlJc w:val="left"/>
      <w:pPr>
        <w:ind w:left="6044" w:hanging="360"/>
      </w:pPr>
      <w:rPr>
        <w:rFonts w:ascii="Courier New" w:hAnsi="Courier New" w:cs="Courier New" w:hint="default"/>
      </w:rPr>
    </w:lvl>
    <w:lvl w:ilvl="8" w:tplc="041A0005">
      <w:start w:val="1"/>
      <w:numFmt w:val="bullet"/>
      <w:lvlText w:val=""/>
      <w:lvlJc w:val="left"/>
      <w:pPr>
        <w:ind w:left="6764" w:hanging="360"/>
      </w:pPr>
      <w:rPr>
        <w:rFonts w:ascii="Wingdings" w:hAnsi="Wingdings" w:hint="default"/>
      </w:rPr>
    </w:lvl>
  </w:abstractNum>
  <w:abstractNum w:abstractNumId="2" w15:restartNumberingAfterBreak="0">
    <w:nsid w:val="0AF334B2"/>
    <w:multiLevelType w:val="hybridMultilevel"/>
    <w:tmpl w:val="01568548"/>
    <w:lvl w:ilvl="0" w:tplc="6A0475D6">
      <w:start w:val="1"/>
      <w:numFmt w:val="bullet"/>
      <w:lvlText w:val="-"/>
      <w:lvlJc w:val="left"/>
      <w:pPr>
        <w:ind w:left="720" w:hanging="360"/>
      </w:pPr>
      <w:rPr>
        <w:rFonts w:ascii="Calibri" w:eastAsia="Calibr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 w15:restartNumberingAfterBreak="0">
    <w:nsid w:val="156A40B9"/>
    <w:multiLevelType w:val="hybridMultilevel"/>
    <w:tmpl w:val="46E4F562"/>
    <w:lvl w:ilvl="0" w:tplc="E760F5D4">
      <w:numFmt w:val="bullet"/>
      <w:lvlText w:val="-"/>
      <w:lvlJc w:val="left"/>
      <w:pPr>
        <w:ind w:left="1068" w:hanging="360"/>
      </w:pPr>
      <w:rPr>
        <w:rFonts w:ascii="Tahoma" w:eastAsia="Times New Roman" w:hAnsi="Tahoma" w:cs="Tahoma" w:hint="default"/>
        <w:sz w:val="22"/>
      </w:rPr>
    </w:lvl>
    <w:lvl w:ilvl="1" w:tplc="041A0003">
      <w:start w:val="1"/>
      <w:numFmt w:val="bullet"/>
      <w:lvlText w:val="o"/>
      <w:lvlJc w:val="left"/>
      <w:pPr>
        <w:ind w:left="1788" w:hanging="360"/>
      </w:pPr>
      <w:rPr>
        <w:rFonts w:ascii="Courier New" w:hAnsi="Courier New" w:cs="Courier New" w:hint="default"/>
      </w:rPr>
    </w:lvl>
    <w:lvl w:ilvl="2" w:tplc="041A0005">
      <w:start w:val="1"/>
      <w:numFmt w:val="bullet"/>
      <w:lvlText w:val=""/>
      <w:lvlJc w:val="left"/>
      <w:pPr>
        <w:ind w:left="2508" w:hanging="360"/>
      </w:pPr>
      <w:rPr>
        <w:rFonts w:ascii="Wingdings" w:hAnsi="Wingdings" w:hint="default"/>
      </w:rPr>
    </w:lvl>
    <w:lvl w:ilvl="3" w:tplc="041A0001">
      <w:start w:val="1"/>
      <w:numFmt w:val="bullet"/>
      <w:lvlText w:val=""/>
      <w:lvlJc w:val="left"/>
      <w:pPr>
        <w:ind w:left="3228" w:hanging="360"/>
      </w:pPr>
      <w:rPr>
        <w:rFonts w:ascii="Symbol" w:hAnsi="Symbol" w:hint="default"/>
      </w:rPr>
    </w:lvl>
    <w:lvl w:ilvl="4" w:tplc="041A0003">
      <w:start w:val="1"/>
      <w:numFmt w:val="bullet"/>
      <w:lvlText w:val="o"/>
      <w:lvlJc w:val="left"/>
      <w:pPr>
        <w:ind w:left="3948" w:hanging="360"/>
      </w:pPr>
      <w:rPr>
        <w:rFonts w:ascii="Courier New" w:hAnsi="Courier New" w:cs="Courier New" w:hint="default"/>
      </w:rPr>
    </w:lvl>
    <w:lvl w:ilvl="5" w:tplc="041A0005">
      <w:start w:val="1"/>
      <w:numFmt w:val="bullet"/>
      <w:lvlText w:val=""/>
      <w:lvlJc w:val="left"/>
      <w:pPr>
        <w:ind w:left="4668" w:hanging="360"/>
      </w:pPr>
      <w:rPr>
        <w:rFonts w:ascii="Wingdings" w:hAnsi="Wingdings" w:hint="default"/>
      </w:rPr>
    </w:lvl>
    <w:lvl w:ilvl="6" w:tplc="041A0001">
      <w:start w:val="1"/>
      <w:numFmt w:val="bullet"/>
      <w:lvlText w:val=""/>
      <w:lvlJc w:val="left"/>
      <w:pPr>
        <w:ind w:left="5388" w:hanging="360"/>
      </w:pPr>
      <w:rPr>
        <w:rFonts w:ascii="Symbol" w:hAnsi="Symbol" w:hint="default"/>
      </w:rPr>
    </w:lvl>
    <w:lvl w:ilvl="7" w:tplc="041A0003">
      <w:start w:val="1"/>
      <w:numFmt w:val="bullet"/>
      <w:lvlText w:val="o"/>
      <w:lvlJc w:val="left"/>
      <w:pPr>
        <w:ind w:left="6108" w:hanging="360"/>
      </w:pPr>
      <w:rPr>
        <w:rFonts w:ascii="Courier New" w:hAnsi="Courier New" w:cs="Courier New" w:hint="default"/>
      </w:rPr>
    </w:lvl>
    <w:lvl w:ilvl="8" w:tplc="041A0005">
      <w:start w:val="1"/>
      <w:numFmt w:val="bullet"/>
      <w:lvlText w:val=""/>
      <w:lvlJc w:val="left"/>
      <w:pPr>
        <w:ind w:left="6828" w:hanging="360"/>
      </w:pPr>
      <w:rPr>
        <w:rFonts w:ascii="Wingdings" w:hAnsi="Wingdings" w:hint="default"/>
      </w:rPr>
    </w:lvl>
  </w:abstractNum>
  <w:abstractNum w:abstractNumId="4" w15:restartNumberingAfterBreak="0">
    <w:nsid w:val="16DA5C5E"/>
    <w:multiLevelType w:val="hybridMultilevel"/>
    <w:tmpl w:val="78028AD6"/>
    <w:lvl w:ilvl="0" w:tplc="2428842E">
      <w:numFmt w:val="bullet"/>
      <w:lvlText w:val="-"/>
      <w:lvlJc w:val="left"/>
      <w:pPr>
        <w:ind w:left="720" w:hanging="360"/>
      </w:pPr>
      <w:rPr>
        <w:rFonts w:ascii="Calibri" w:eastAsia="Calibr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 w15:restartNumberingAfterBreak="0">
    <w:nsid w:val="2E727CF5"/>
    <w:multiLevelType w:val="hybridMultilevel"/>
    <w:tmpl w:val="C3BEEFD0"/>
    <w:lvl w:ilvl="0" w:tplc="FCD2AB00">
      <w:start w:val="3"/>
      <w:numFmt w:val="bullet"/>
      <w:lvlText w:val="-"/>
      <w:lvlJc w:val="left"/>
      <w:pPr>
        <w:ind w:left="720" w:hanging="360"/>
      </w:pPr>
      <w:rPr>
        <w:rFonts w:ascii="Calibri" w:eastAsia="SimSun" w:hAnsi="Calibri" w:cs="Calibri"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6" w15:restartNumberingAfterBreak="0">
    <w:nsid w:val="45C83B25"/>
    <w:multiLevelType w:val="hybridMultilevel"/>
    <w:tmpl w:val="2EA04094"/>
    <w:lvl w:ilvl="0" w:tplc="041A0011">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7" w15:restartNumberingAfterBreak="0">
    <w:nsid w:val="4E7E78B3"/>
    <w:multiLevelType w:val="hybridMultilevel"/>
    <w:tmpl w:val="9AAAFE50"/>
    <w:lvl w:ilvl="0" w:tplc="E8A0F230">
      <w:start w:val="1"/>
      <w:numFmt w:val="bullet"/>
      <w:lvlText w:val="-"/>
      <w:lvlJc w:val="left"/>
      <w:pPr>
        <w:ind w:left="720" w:hanging="360"/>
      </w:pPr>
      <w:rPr>
        <w:rFonts w:ascii="Calibri" w:eastAsia="Calibri" w:hAnsi="Calibri" w:cs="Calibri"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8" w15:restartNumberingAfterBreak="0">
    <w:nsid w:val="574545F1"/>
    <w:multiLevelType w:val="hybridMultilevel"/>
    <w:tmpl w:val="0750D6DC"/>
    <w:lvl w:ilvl="0" w:tplc="041A0003">
      <w:start w:val="1"/>
      <w:numFmt w:val="bullet"/>
      <w:lvlText w:val="o"/>
      <w:lvlJc w:val="left"/>
      <w:pPr>
        <w:ind w:left="720" w:hanging="360"/>
      </w:pPr>
      <w:rPr>
        <w:rFonts w:ascii="Courier New" w:hAnsi="Courier New" w:cs="Courier New"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num w:numId="1" w16cid:durableId="212653516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368481149">
    <w:abstractNumId w:val="7"/>
  </w:num>
  <w:num w:numId="3" w16cid:durableId="2076124006">
    <w:abstractNumId w:val="8"/>
  </w:num>
  <w:num w:numId="4" w16cid:durableId="1813794071">
    <w:abstractNumId w:val="0"/>
  </w:num>
  <w:num w:numId="5" w16cid:durableId="1893928643">
    <w:abstractNumId w:val="5"/>
  </w:num>
  <w:num w:numId="6" w16cid:durableId="2041708559">
    <w:abstractNumId w:val="3"/>
  </w:num>
  <w:num w:numId="7" w16cid:durableId="2036736837">
    <w:abstractNumId w:val="1"/>
  </w:num>
  <w:num w:numId="8" w16cid:durableId="1232352320">
    <w:abstractNumId w:val="4"/>
  </w:num>
  <w:num w:numId="9" w16cid:durableId="414523333">
    <w:abstractNumId w:val="3"/>
    <w:lvlOverride w:ilvl="0"/>
    <w:lvlOverride w:ilvl="1"/>
    <w:lvlOverride w:ilvl="2"/>
    <w:lvlOverride w:ilvl="3"/>
    <w:lvlOverride w:ilvl="4"/>
    <w:lvlOverride w:ilvl="5"/>
    <w:lvlOverride w:ilvl="6"/>
    <w:lvlOverride w:ilvl="7"/>
    <w:lvlOverride w:ilvl="8"/>
  </w:num>
  <w:num w:numId="10" w16cid:durableId="99349245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64964"/>
    <w:rsid w:val="000A7049"/>
    <w:rsid w:val="000E4A5A"/>
    <w:rsid w:val="001264F1"/>
    <w:rsid w:val="001419F8"/>
    <w:rsid w:val="001470A7"/>
    <w:rsid w:val="001759B8"/>
    <w:rsid w:val="00180188"/>
    <w:rsid w:val="00211E2F"/>
    <w:rsid w:val="00240F4B"/>
    <w:rsid w:val="002451F2"/>
    <w:rsid w:val="00266CFE"/>
    <w:rsid w:val="00277841"/>
    <w:rsid w:val="00291C7C"/>
    <w:rsid w:val="002A04B8"/>
    <w:rsid w:val="0032292E"/>
    <w:rsid w:val="00341603"/>
    <w:rsid w:val="00412820"/>
    <w:rsid w:val="00561589"/>
    <w:rsid w:val="005E683D"/>
    <w:rsid w:val="00616AC2"/>
    <w:rsid w:val="006555ED"/>
    <w:rsid w:val="0069036B"/>
    <w:rsid w:val="006A0961"/>
    <w:rsid w:val="006B7285"/>
    <w:rsid w:val="006D5819"/>
    <w:rsid w:val="00742DE9"/>
    <w:rsid w:val="00765173"/>
    <w:rsid w:val="00765C62"/>
    <w:rsid w:val="00823212"/>
    <w:rsid w:val="00887624"/>
    <w:rsid w:val="00891100"/>
    <w:rsid w:val="00964553"/>
    <w:rsid w:val="009D2D2A"/>
    <w:rsid w:val="00B9277F"/>
    <w:rsid w:val="00B9451D"/>
    <w:rsid w:val="00BE6E34"/>
    <w:rsid w:val="00BE7170"/>
    <w:rsid w:val="00C85154"/>
    <w:rsid w:val="00CC74EA"/>
    <w:rsid w:val="00CE6AF1"/>
    <w:rsid w:val="00D50EB3"/>
    <w:rsid w:val="00E361E3"/>
    <w:rsid w:val="00E64964"/>
    <w:rsid w:val="00E95DAC"/>
    <w:rsid w:val="00FF1B58"/>
    <w:rsid w:val="00FF362D"/>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C31FF8"/>
  <w15:chartTrackingRefBased/>
  <w15:docId w15:val="{49E92F03-40B7-436E-AA29-BBFB87FF0D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numbering" w:customStyle="1" w:styleId="Bezpopisa1">
    <w:name w:val="Bez popisa1"/>
    <w:next w:val="Bezpopisa"/>
    <w:uiPriority w:val="99"/>
    <w:semiHidden/>
    <w:unhideWhenUsed/>
    <w:rsid w:val="00E64964"/>
  </w:style>
  <w:style w:type="character" w:styleId="Hiperveza">
    <w:name w:val="Hyperlink"/>
    <w:uiPriority w:val="99"/>
    <w:semiHidden/>
    <w:unhideWhenUsed/>
    <w:rsid w:val="00E64964"/>
    <w:rPr>
      <w:color w:val="0563C1"/>
      <w:u w:val="single"/>
    </w:rPr>
  </w:style>
  <w:style w:type="paragraph" w:styleId="Bezproreda">
    <w:name w:val="No Spacing"/>
    <w:uiPriority w:val="99"/>
    <w:qFormat/>
    <w:rsid w:val="00E64964"/>
    <w:pPr>
      <w:spacing w:after="0" w:line="240" w:lineRule="auto"/>
    </w:pPr>
    <w:rPr>
      <w:rFonts w:ascii="Calibri" w:eastAsia="Calibri" w:hAnsi="Calibri" w:cs="Calibri"/>
    </w:rPr>
  </w:style>
  <w:style w:type="table" w:styleId="Reetkatablice">
    <w:name w:val="Table Grid"/>
    <w:basedOn w:val="Obinatablica"/>
    <w:uiPriority w:val="39"/>
    <w:rsid w:val="00E64964"/>
    <w:pPr>
      <w:spacing w:after="0" w:line="240" w:lineRule="auto"/>
    </w:pPr>
    <w:rPr>
      <w:rFonts w:ascii="Calibri" w:eastAsia="Calibri" w:hAnsi="Calibri"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tandardWeb">
    <w:name w:val="Normal (Web)"/>
    <w:basedOn w:val="Normal"/>
    <w:uiPriority w:val="99"/>
    <w:unhideWhenUsed/>
    <w:rsid w:val="001759B8"/>
    <w:pPr>
      <w:spacing w:before="100" w:beforeAutospacing="1" w:after="100" w:afterAutospacing="1" w:line="240" w:lineRule="auto"/>
    </w:pPr>
    <w:rPr>
      <w:rFonts w:ascii="Times New Roman" w:eastAsia="Times New Roman" w:hAnsi="Times New Roman" w:cs="Times New Roman"/>
      <w:sz w:val="24"/>
      <w:szCs w:val="24"/>
      <w:lang w:eastAsia="hr-HR"/>
    </w:rPr>
  </w:style>
  <w:style w:type="character" w:styleId="Naglaeno">
    <w:name w:val="Strong"/>
    <w:basedOn w:val="Zadanifontodlomka"/>
    <w:uiPriority w:val="22"/>
    <w:qFormat/>
    <w:rsid w:val="001759B8"/>
    <w:rPr>
      <w:b/>
      <w:bCs/>
    </w:rPr>
  </w:style>
  <w:style w:type="paragraph" w:styleId="Odlomakpopisa">
    <w:name w:val="List Paragraph"/>
    <w:basedOn w:val="Normal"/>
    <w:uiPriority w:val="34"/>
    <w:qFormat/>
    <w:rsid w:val="00B9451D"/>
    <w:pPr>
      <w:ind w:left="720"/>
      <w:contextualSpacing/>
    </w:pPr>
  </w:style>
  <w:style w:type="table" w:customStyle="1" w:styleId="Reetkatablice1">
    <w:name w:val="Rešetka tablice1"/>
    <w:basedOn w:val="Obinatablica"/>
    <w:next w:val="Reetkatablice"/>
    <w:uiPriority w:val="39"/>
    <w:rsid w:val="00765C6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591320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narodne-novine.nn.hr/clanci/sluzbeni/2015_07_78_1491.html"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B810DB2-BF09-4E46-ADC9-01DFC0648A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5</Pages>
  <Words>2889</Words>
  <Characters>16468</Characters>
  <Application>Microsoft Office Word</Application>
  <DocSecurity>0</DocSecurity>
  <Lines>137</Lines>
  <Paragraphs>38</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19319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Graditeljstvo Sisak5</dc:creator>
  <cp:keywords/>
  <dc:description/>
  <cp:lastModifiedBy>Graditeljstvo Sisak5</cp:lastModifiedBy>
  <cp:revision>2</cp:revision>
  <dcterms:created xsi:type="dcterms:W3CDTF">2022-08-19T08:34:00Z</dcterms:created>
  <dcterms:modified xsi:type="dcterms:W3CDTF">2022-08-19T08:34:00Z</dcterms:modified>
</cp:coreProperties>
</file>